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DB" w:rsidRPr="005C13CC" w:rsidRDefault="009315DB" w:rsidP="009315DB">
      <w:pPr>
        <w:jc w:val="center"/>
        <w:rPr>
          <w:b/>
          <w:sz w:val="48"/>
          <w:szCs w:val="48"/>
        </w:rPr>
      </w:pPr>
      <w:r w:rsidRPr="005C13CC">
        <w:rPr>
          <w:b/>
          <w:sz w:val="48"/>
          <w:szCs w:val="48"/>
        </w:rPr>
        <w:t>FINA312 / FINA517 – 15B</w:t>
      </w:r>
    </w:p>
    <w:p w:rsidR="009315DB" w:rsidRPr="005C13CC" w:rsidRDefault="009315DB" w:rsidP="009315DB">
      <w:pPr>
        <w:jc w:val="center"/>
        <w:rPr>
          <w:b/>
          <w:sz w:val="48"/>
          <w:szCs w:val="48"/>
        </w:rPr>
      </w:pPr>
    </w:p>
    <w:p w:rsidR="009315DB" w:rsidRPr="005C13CC" w:rsidRDefault="009315DB" w:rsidP="009315DB">
      <w:pPr>
        <w:jc w:val="center"/>
        <w:rPr>
          <w:b/>
          <w:sz w:val="48"/>
          <w:szCs w:val="48"/>
        </w:rPr>
      </w:pPr>
      <w:r w:rsidRPr="005C13CC">
        <w:rPr>
          <w:b/>
          <w:sz w:val="48"/>
          <w:szCs w:val="48"/>
        </w:rPr>
        <w:t>FUND MANAGEMENT SIMULATION PROJECT</w:t>
      </w:r>
    </w:p>
    <w:p w:rsidR="009315DB" w:rsidRPr="005C13CC" w:rsidRDefault="009315DB" w:rsidP="009315DB">
      <w:pPr>
        <w:jc w:val="center"/>
        <w:rPr>
          <w:b/>
          <w:sz w:val="48"/>
          <w:szCs w:val="48"/>
        </w:rPr>
      </w:pPr>
    </w:p>
    <w:p w:rsidR="009315DB" w:rsidRPr="005C13CC" w:rsidRDefault="009315DB" w:rsidP="009315DB">
      <w:pPr>
        <w:jc w:val="center"/>
        <w:rPr>
          <w:b/>
          <w:sz w:val="48"/>
          <w:szCs w:val="48"/>
        </w:rPr>
      </w:pPr>
      <w:r>
        <w:rPr>
          <w:b/>
          <w:sz w:val="48"/>
          <w:szCs w:val="48"/>
        </w:rPr>
        <w:t>INSTRUCTION FOR REPORT 04</w:t>
      </w:r>
    </w:p>
    <w:p w:rsidR="009315DB" w:rsidRDefault="009315DB" w:rsidP="009315DB">
      <w:pPr>
        <w:jc w:val="center"/>
      </w:pPr>
    </w:p>
    <w:p w:rsidR="009315DB" w:rsidRDefault="009315DB" w:rsidP="009315DB">
      <w:pPr>
        <w:spacing w:line="480" w:lineRule="auto"/>
        <w:jc w:val="center"/>
        <w:rPr>
          <w:sz w:val="48"/>
          <w:szCs w:val="48"/>
        </w:rPr>
      </w:pPr>
      <w:r>
        <w:rPr>
          <w:sz w:val="48"/>
          <w:szCs w:val="48"/>
        </w:rPr>
        <w:t>Group members</w:t>
      </w:r>
    </w:p>
    <w:p w:rsidR="009315DB" w:rsidRPr="005C13CC" w:rsidRDefault="009315DB" w:rsidP="009315DB">
      <w:pPr>
        <w:spacing w:line="480" w:lineRule="auto"/>
        <w:jc w:val="center"/>
        <w:rPr>
          <w:sz w:val="48"/>
          <w:szCs w:val="48"/>
        </w:rPr>
      </w:pPr>
      <w:r w:rsidRPr="005C13CC">
        <w:rPr>
          <w:sz w:val="48"/>
          <w:szCs w:val="48"/>
        </w:rPr>
        <w:t>Ziru Sun 1247219</w:t>
      </w:r>
    </w:p>
    <w:p w:rsidR="009315DB" w:rsidRPr="005C13CC" w:rsidRDefault="009315DB" w:rsidP="009315DB">
      <w:pPr>
        <w:spacing w:line="480" w:lineRule="auto"/>
        <w:jc w:val="center"/>
        <w:rPr>
          <w:sz w:val="48"/>
          <w:szCs w:val="48"/>
        </w:rPr>
      </w:pPr>
      <w:r w:rsidRPr="005C13CC">
        <w:rPr>
          <w:sz w:val="48"/>
          <w:szCs w:val="48"/>
        </w:rPr>
        <w:t>Shengyu Xu 1247387</w:t>
      </w:r>
    </w:p>
    <w:p w:rsidR="009315DB" w:rsidRPr="005C13CC" w:rsidRDefault="009315DB" w:rsidP="009315DB">
      <w:pPr>
        <w:spacing w:line="480" w:lineRule="auto"/>
        <w:jc w:val="center"/>
        <w:rPr>
          <w:sz w:val="48"/>
          <w:szCs w:val="48"/>
        </w:rPr>
      </w:pPr>
      <w:r w:rsidRPr="005C13CC">
        <w:rPr>
          <w:sz w:val="48"/>
          <w:szCs w:val="48"/>
        </w:rPr>
        <w:t>Congqi Wei 1247360</w:t>
      </w:r>
    </w:p>
    <w:p w:rsidR="009315DB" w:rsidRPr="005C13CC" w:rsidRDefault="009315DB" w:rsidP="009315DB">
      <w:pPr>
        <w:spacing w:line="480" w:lineRule="auto"/>
        <w:jc w:val="center"/>
        <w:rPr>
          <w:sz w:val="40"/>
          <w:szCs w:val="40"/>
        </w:rPr>
      </w:pPr>
    </w:p>
    <w:p w:rsidR="009315DB" w:rsidRPr="005C13CC" w:rsidRDefault="009315DB" w:rsidP="009315DB">
      <w:pPr>
        <w:spacing w:line="480" w:lineRule="auto"/>
        <w:jc w:val="center"/>
        <w:rPr>
          <w:sz w:val="40"/>
          <w:szCs w:val="40"/>
        </w:rPr>
      </w:pPr>
      <w:r w:rsidRPr="005C13CC">
        <w:rPr>
          <w:sz w:val="40"/>
          <w:szCs w:val="40"/>
        </w:rPr>
        <w:t>Yahoo account: sylerxu@yahoo.co.nz</w:t>
      </w:r>
    </w:p>
    <w:p w:rsidR="00717904" w:rsidRDefault="00E634CD" w:rsidP="00481590">
      <w:pPr>
        <w:pStyle w:val="Heading1"/>
        <w:jc w:val="both"/>
      </w:pPr>
      <w:r w:rsidRPr="00481590">
        <w:lastRenderedPageBreak/>
        <w:t>Passive Funds</w:t>
      </w:r>
    </w:p>
    <w:p w:rsidR="00481590" w:rsidRPr="00481590" w:rsidRDefault="00481590" w:rsidP="00481590">
      <w:pPr>
        <w:jc w:val="both"/>
      </w:pPr>
    </w:p>
    <w:p w:rsidR="00E634CD" w:rsidRPr="00481590" w:rsidRDefault="00AF7A0F" w:rsidP="00481590">
      <w:pPr>
        <w:jc w:val="both"/>
        <w:rPr>
          <w:rFonts w:ascii="Times New Roman" w:hAnsi="Times New Roman" w:cs="Times New Roman"/>
          <w:sz w:val="24"/>
          <w:szCs w:val="24"/>
        </w:rPr>
      </w:pPr>
      <w:r w:rsidRPr="00481590">
        <w:rPr>
          <w:rFonts w:ascii="Times New Roman" w:hAnsi="Times New Roman" w:cs="Times New Roman"/>
          <w:sz w:val="24"/>
          <w:szCs w:val="24"/>
        </w:rPr>
        <w:t xml:space="preserve">The NAV </w:t>
      </w:r>
      <w:r w:rsidR="009B4AB3">
        <w:rPr>
          <w:rFonts w:ascii="Times New Roman" w:hAnsi="Times New Roman" w:cs="Times New Roman"/>
          <w:sz w:val="24"/>
          <w:szCs w:val="24"/>
        </w:rPr>
        <w:t>at the time of report 3</w:t>
      </w:r>
      <w:r w:rsidR="00E634CD" w:rsidRPr="00481590">
        <w:rPr>
          <w:rFonts w:ascii="Times New Roman" w:hAnsi="Times New Roman" w:cs="Times New Roman"/>
          <w:sz w:val="24"/>
          <w:szCs w:val="24"/>
        </w:rPr>
        <w:t xml:space="preserve"> is given below:-</w:t>
      </w:r>
    </w:p>
    <w:tbl>
      <w:tblPr>
        <w:tblW w:w="9740" w:type="dxa"/>
        <w:tblInd w:w="93" w:type="dxa"/>
        <w:tblLook w:val="04A0" w:firstRow="1" w:lastRow="0" w:firstColumn="1" w:lastColumn="0" w:noHBand="0" w:noVBand="1"/>
      </w:tblPr>
      <w:tblGrid>
        <w:gridCol w:w="3519"/>
        <w:gridCol w:w="1479"/>
        <w:gridCol w:w="2700"/>
        <w:gridCol w:w="2042"/>
      </w:tblGrid>
      <w:tr w:rsidR="00AF7A0F" w:rsidRPr="00AF7A0F" w:rsidTr="00AF7A0F">
        <w:trPr>
          <w:trHeight w:val="315"/>
        </w:trPr>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bCs/>
                <w:color w:val="000000"/>
                <w:sz w:val="24"/>
                <w:szCs w:val="24"/>
              </w:rPr>
            </w:pPr>
            <w:r w:rsidRPr="00AF7A0F">
              <w:rPr>
                <w:rFonts w:ascii="Times New Roman" w:eastAsia="Times New Roman" w:hAnsi="Times New Roman" w:cs="Times New Roman"/>
                <w:bCs/>
                <w:color w:val="000000"/>
                <w:sz w:val="24"/>
                <w:szCs w:val="24"/>
              </w:rPr>
              <w:t> </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bCs/>
                <w:color w:val="000000"/>
                <w:sz w:val="24"/>
                <w:szCs w:val="24"/>
              </w:rPr>
            </w:pPr>
            <w:r w:rsidRPr="00AF7A0F">
              <w:rPr>
                <w:rFonts w:ascii="Times New Roman" w:eastAsia="Times New Roman" w:hAnsi="Times New Roman" w:cs="Times New Roman"/>
                <w:bCs/>
                <w:color w:val="000000"/>
                <w:sz w:val="24"/>
                <w:szCs w:val="24"/>
              </w:rPr>
              <w:t>Number of Stocks Purchased</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bCs/>
                <w:color w:val="000000"/>
                <w:sz w:val="24"/>
                <w:szCs w:val="24"/>
              </w:rPr>
            </w:pPr>
            <w:r w:rsidRPr="00AF7A0F">
              <w:rPr>
                <w:rFonts w:ascii="Times New Roman" w:eastAsia="Times New Roman" w:hAnsi="Times New Roman" w:cs="Times New Roman"/>
                <w:bCs/>
                <w:color w:val="000000"/>
                <w:sz w:val="24"/>
                <w:szCs w:val="24"/>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bCs/>
                <w:color w:val="000000"/>
                <w:sz w:val="24"/>
                <w:szCs w:val="24"/>
              </w:rPr>
            </w:pPr>
            <w:r w:rsidRPr="00AF7A0F">
              <w:rPr>
                <w:rFonts w:ascii="Times New Roman" w:eastAsia="Times New Roman" w:hAnsi="Times New Roman" w:cs="Times New Roman"/>
                <w:bCs/>
                <w:color w:val="000000"/>
                <w:sz w:val="24"/>
                <w:szCs w:val="24"/>
              </w:rPr>
              <w:t> </w:t>
            </w:r>
          </w:p>
        </w:tc>
      </w:tr>
      <w:tr w:rsidR="00AF7A0F"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bCs/>
                <w:color w:val="000000"/>
                <w:sz w:val="24"/>
                <w:szCs w:val="24"/>
              </w:rPr>
            </w:pPr>
            <w:r w:rsidRPr="00AF7A0F">
              <w:rPr>
                <w:rFonts w:ascii="Times New Roman" w:eastAsia="Times New Roman" w:hAnsi="Times New Roman" w:cs="Times New Roman"/>
                <w:bCs/>
                <w:color w:val="000000"/>
                <w:sz w:val="24"/>
                <w:szCs w:val="24"/>
              </w:rPr>
              <w:t>Stock’s Name</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AF7A0F" w:rsidRPr="00AF7A0F" w:rsidRDefault="00AF7A0F" w:rsidP="00481590">
            <w:pPr>
              <w:spacing w:after="0" w:line="240" w:lineRule="auto"/>
              <w:jc w:val="both"/>
              <w:rPr>
                <w:rFonts w:ascii="Times New Roman" w:eastAsia="Times New Roman" w:hAnsi="Times New Roman" w:cs="Times New Roman"/>
                <w:bCs/>
                <w:color w:val="000000"/>
                <w:sz w:val="24"/>
                <w:szCs w:val="24"/>
              </w:rPr>
            </w:pP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bCs/>
                <w:color w:val="000000"/>
                <w:sz w:val="24"/>
                <w:szCs w:val="24"/>
              </w:rPr>
            </w:pPr>
            <w:r w:rsidRPr="00AF7A0F">
              <w:rPr>
                <w:rFonts w:ascii="Times New Roman" w:eastAsia="Times New Roman" w:hAnsi="Times New Roman" w:cs="Times New Roman"/>
                <w:bCs/>
                <w:color w:val="000000"/>
                <w:sz w:val="24"/>
                <w:szCs w:val="24"/>
              </w:rPr>
              <w:t>Current market Price</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bCs/>
                <w:color w:val="000000"/>
                <w:sz w:val="24"/>
                <w:szCs w:val="24"/>
              </w:rPr>
            </w:pPr>
            <w:r w:rsidRPr="00AF7A0F">
              <w:rPr>
                <w:rFonts w:ascii="Times New Roman" w:eastAsia="Times New Roman" w:hAnsi="Times New Roman" w:cs="Times New Roman"/>
                <w:bCs/>
                <w:color w:val="000000"/>
                <w:sz w:val="24"/>
                <w:szCs w:val="24"/>
              </w:rPr>
              <w:t>Current Market Value</w:t>
            </w:r>
          </w:p>
        </w:tc>
      </w:tr>
      <w:tr w:rsidR="00AF7A0F" w:rsidRPr="00AF7A0F" w:rsidTr="00AF7A0F">
        <w:trPr>
          <w:trHeight w:val="630"/>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Fisher &amp; Pykel Healthcare ltd (FPH),</w:t>
            </w:r>
          </w:p>
        </w:tc>
        <w:tc>
          <w:tcPr>
            <w:tcW w:w="1479" w:type="dxa"/>
            <w:tcBorders>
              <w:top w:val="nil"/>
              <w:left w:val="nil"/>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67,477.00 </w:t>
            </w: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7.31 </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493,256.87 </w:t>
            </w:r>
          </w:p>
        </w:tc>
      </w:tr>
      <w:tr w:rsidR="00AF7A0F" w:rsidRPr="00AF7A0F" w:rsidTr="00AF7A0F">
        <w:trPr>
          <w:trHeight w:val="630"/>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Auckland International Airport Ltd (AIA)</w:t>
            </w:r>
          </w:p>
        </w:tc>
        <w:tc>
          <w:tcPr>
            <w:tcW w:w="1479" w:type="dxa"/>
            <w:tcBorders>
              <w:top w:val="nil"/>
              <w:left w:val="nil"/>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94,787.00 </w:t>
            </w: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4.97 </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471,091.39 </w:t>
            </w:r>
          </w:p>
        </w:tc>
      </w:tr>
      <w:tr w:rsidR="00AF7A0F"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Meridian Energy Ltd (MEL)</w:t>
            </w:r>
          </w:p>
        </w:tc>
        <w:tc>
          <w:tcPr>
            <w:tcW w:w="1479" w:type="dxa"/>
            <w:tcBorders>
              <w:top w:val="nil"/>
              <w:left w:val="nil"/>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221,239.00 </w:t>
            </w: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2.20 </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486,725.80 </w:t>
            </w:r>
          </w:p>
        </w:tc>
      </w:tr>
      <w:tr w:rsidR="00AF7A0F"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Fletcher Building Ltd (FBU)</w:t>
            </w:r>
          </w:p>
        </w:tc>
        <w:tc>
          <w:tcPr>
            <w:tcW w:w="1479" w:type="dxa"/>
            <w:tcBorders>
              <w:top w:val="nil"/>
              <w:left w:val="nil"/>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64,103.00 </w:t>
            </w: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7.25 </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464,746.75 </w:t>
            </w:r>
          </w:p>
        </w:tc>
      </w:tr>
      <w:tr w:rsidR="00AF7A0F"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Infratil Ltd (IFT)</w:t>
            </w:r>
          </w:p>
        </w:tc>
        <w:tc>
          <w:tcPr>
            <w:tcW w:w="1479" w:type="dxa"/>
            <w:tcBorders>
              <w:top w:val="nil"/>
              <w:left w:val="nil"/>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155,280.00 </w:t>
            </w: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3.03 </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470,498.40 </w:t>
            </w:r>
          </w:p>
        </w:tc>
      </w:tr>
      <w:tr w:rsidR="00AF7A0F"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Contact Energy Ltd (CEN)</w:t>
            </w:r>
          </w:p>
        </w:tc>
        <w:tc>
          <w:tcPr>
            <w:tcW w:w="1479" w:type="dxa"/>
            <w:tcBorders>
              <w:top w:val="nil"/>
              <w:left w:val="nil"/>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96,339.00 </w:t>
            </w: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5.25 </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505,779.75 </w:t>
            </w:r>
          </w:p>
        </w:tc>
      </w:tr>
      <w:tr w:rsidR="00AF7A0F"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No. of Units</w:t>
            </w:r>
          </w:p>
        </w:tc>
        <w:tc>
          <w:tcPr>
            <w:tcW w:w="1479"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1,051,568.00 </w:t>
            </w: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w:t>
            </w:r>
          </w:p>
        </w:tc>
      </w:tr>
      <w:tr w:rsidR="00C16189"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tcPr>
          <w:p w:rsidR="00C16189" w:rsidRPr="00AF7A0F" w:rsidRDefault="00C16189" w:rsidP="004815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of Units investor hold</w:t>
            </w:r>
          </w:p>
        </w:tc>
        <w:tc>
          <w:tcPr>
            <w:tcW w:w="1479" w:type="dxa"/>
            <w:tcBorders>
              <w:top w:val="nil"/>
              <w:left w:val="nil"/>
              <w:bottom w:val="single" w:sz="4" w:space="0" w:color="auto"/>
              <w:right w:val="single" w:sz="4" w:space="0" w:color="auto"/>
            </w:tcBorders>
            <w:shd w:val="clear" w:color="auto" w:fill="auto"/>
            <w:noWrap/>
            <w:vAlign w:val="bottom"/>
          </w:tcPr>
          <w:p w:rsidR="00C16189" w:rsidRPr="00AF7A0F" w:rsidRDefault="00C16189" w:rsidP="004815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210314</w:t>
            </w:r>
          </w:p>
        </w:tc>
        <w:tc>
          <w:tcPr>
            <w:tcW w:w="2700" w:type="dxa"/>
            <w:tcBorders>
              <w:top w:val="nil"/>
              <w:left w:val="nil"/>
              <w:bottom w:val="single" w:sz="4" w:space="0" w:color="auto"/>
              <w:right w:val="single" w:sz="4" w:space="0" w:color="auto"/>
            </w:tcBorders>
            <w:shd w:val="clear" w:color="auto" w:fill="auto"/>
            <w:noWrap/>
            <w:vAlign w:val="bottom"/>
          </w:tcPr>
          <w:p w:rsidR="00C16189" w:rsidRPr="00AF7A0F" w:rsidRDefault="00C16189" w:rsidP="00481590">
            <w:pPr>
              <w:spacing w:after="0" w:line="240" w:lineRule="auto"/>
              <w:jc w:val="both"/>
              <w:rPr>
                <w:rFonts w:ascii="Times New Roman" w:eastAsia="Times New Roman" w:hAnsi="Times New Roman" w:cs="Times New Roman"/>
                <w:color w:val="000000"/>
                <w:sz w:val="24"/>
                <w:szCs w:val="24"/>
              </w:rPr>
            </w:pPr>
          </w:p>
        </w:tc>
        <w:tc>
          <w:tcPr>
            <w:tcW w:w="2042" w:type="dxa"/>
            <w:tcBorders>
              <w:top w:val="nil"/>
              <w:left w:val="nil"/>
              <w:bottom w:val="single" w:sz="4" w:space="0" w:color="auto"/>
              <w:right w:val="single" w:sz="4" w:space="0" w:color="auto"/>
            </w:tcBorders>
            <w:shd w:val="clear" w:color="auto" w:fill="auto"/>
            <w:noWrap/>
            <w:vAlign w:val="bottom"/>
          </w:tcPr>
          <w:p w:rsidR="00C16189" w:rsidRPr="00AF7A0F" w:rsidRDefault="00C16189" w:rsidP="00481590">
            <w:pPr>
              <w:spacing w:after="0" w:line="240" w:lineRule="auto"/>
              <w:jc w:val="both"/>
              <w:rPr>
                <w:rFonts w:ascii="Times New Roman" w:eastAsia="Times New Roman" w:hAnsi="Times New Roman" w:cs="Times New Roman"/>
                <w:color w:val="000000"/>
                <w:sz w:val="24"/>
                <w:szCs w:val="24"/>
              </w:rPr>
            </w:pPr>
          </w:p>
        </w:tc>
      </w:tr>
      <w:tr w:rsidR="00AF7A0F"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Total Value</w:t>
            </w:r>
          </w:p>
        </w:tc>
        <w:tc>
          <w:tcPr>
            <w:tcW w:w="1479"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4,392,301.83 </w:t>
            </w: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w:t>
            </w:r>
          </w:p>
        </w:tc>
      </w:tr>
      <w:tr w:rsidR="00AF7A0F"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Cash</w:t>
            </w:r>
          </w:p>
        </w:tc>
        <w:tc>
          <w:tcPr>
            <w:tcW w:w="1479"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500,000.00 </w:t>
            </w: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w:t>
            </w:r>
          </w:p>
        </w:tc>
      </w:tr>
      <w:tr w:rsidR="00AF7A0F"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Total Fund Value</w:t>
            </w:r>
          </w:p>
        </w:tc>
        <w:tc>
          <w:tcPr>
            <w:tcW w:w="1479"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4,892,301.83 </w:t>
            </w: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w:t>
            </w:r>
          </w:p>
        </w:tc>
      </w:tr>
      <w:tr w:rsidR="00C16189"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tcPr>
          <w:p w:rsidR="00C16189" w:rsidRPr="00AF7A0F" w:rsidRDefault="00C16189" w:rsidP="009A1F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w:t>
            </w:r>
            <w:r w:rsidR="009A1FE8">
              <w:rPr>
                <w:rFonts w:ascii="Times New Roman" w:eastAsia="Times New Roman" w:hAnsi="Times New Roman" w:cs="Times New Roman"/>
                <w:color w:val="000000"/>
                <w:sz w:val="24"/>
                <w:szCs w:val="24"/>
              </w:rPr>
              <w:t xml:space="preserve">Fund </w:t>
            </w:r>
            <w:r>
              <w:rPr>
                <w:rFonts w:ascii="Times New Roman" w:eastAsia="Times New Roman" w:hAnsi="Times New Roman" w:cs="Times New Roman"/>
                <w:color w:val="000000"/>
                <w:sz w:val="24"/>
                <w:szCs w:val="24"/>
              </w:rPr>
              <w:t>Value</w:t>
            </w:r>
            <w:r w:rsidR="009A1FE8">
              <w:rPr>
                <w:rFonts w:ascii="Times New Roman" w:eastAsia="Times New Roman" w:hAnsi="Times New Roman" w:cs="Times New Roman"/>
                <w:color w:val="000000"/>
                <w:sz w:val="24"/>
                <w:szCs w:val="24"/>
              </w:rPr>
              <w:t xml:space="preserve"> investor hold</w:t>
            </w:r>
          </w:p>
        </w:tc>
        <w:tc>
          <w:tcPr>
            <w:tcW w:w="1479" w:type="dxa"/>
            <w:tcBorders>
              <w:top w:val="nil"/>
              <w:left w:val="nil"/>
              <w:bottom w:val="single" w:sz="4" w:space="0" w:color="auto"/>
              <w:right w:val="single" w:sz="4" w:space="0" w:color="auto"/>
            </w:tcBorders>
            <w:shd w:val="clear" w:color="auto" w:fill="auto"/>
            <w:noWrap/>
            <w:vAlign w:val="bottom"/>
          </w:tcPr>
          <w:p w:rsidR="00C16189" w:rsidRPr="00AF7A0F" w:rsidRDefault="00C16189" w:rsidP="004815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978460.366</w:t>
            </w:r>
          </w:p>
        </w:tc>
        <w:tc>
          <w:tcPr>
            <w:tcW w:w="2700" w:type="dxa"/>
            <w:tcBorders>
              <w:top w:val="nil"/>
              <w:left w:val="nil"/>
              <w:bottom w:val="single" w:sz="4" w:space="0" w:color="auto"/>
              <w:right w:val="single" w:sz="4" w:space="0" w:color="auto"/>
            </w:tcBorders>
            <w:shd w:val="clear" w:color="auto" w:fill="auto"/>
            <w:noWrap/>
            <w:vAlign w:val="bottom"/>
          </w:tcPr>
          <w:p w:rsidR="00C16189" w:rsidRPr="00AF7A0F" w:rsidRDefault="00C16189" w:rsidP="00481590">
            <w:pPr>
              <w:spacing w:after="0" w:line="240" w:lineRule="auto"/>
              <w:jc w:val="both"/>
              <w:rPr>
                <w:rFonts w:ascii="Times New Roman" w:eastAsia="Times New Roman" w:hAnsi="Times New Roman" w:cs="Times New Roman"/>
                <w:color w:val="000000"/>
                <w:sz w:val="24"/>
                <w:szCs w:val="24"/>
              </w:rPr>
            </w:pPr>
          </w:p>
        </w:tc>
        <w:tc>
          <w:tcPr>
            <w:tcW w:w="2042" w:type="dxa"/>
            <w:tcBorders>
              <w:top w:val="nil"/>
              <w:left w:val="nil"/>
              <w:bottom w:val="single" w:sz="4" w:space="0" w:color="auto"/>
              <w:right w:val="single" w:sz="4" w:space="0" w:color="auto"/>
            </w:tcBorders>
            <w:shd w:val="clear" w:color="auto" w:fill="auto"/>
            <w:noWrap/>
            <w:vAlign w:val="bottom"/>
          </w:tcPr>
          <w:p w:rsidR="00C16189" w:rsidRPr="00AF7A0F" w:rsidRDefault="00C16189" w:rsidP="00481590">
            <w:pPr>
              <w:spacing w:after="0" w:line="240" w:lineRule="auto"/>
              <w:jc w:val="both"/>
              <w:rPr>
                <w:rFonts w:ascii="Times New Roman" w:eastAsia="Times New Roman" w:hAnsi="Times New Roman" w:cs="Times New Roman"/>
                <w:color w:val="000000"/>
                <w:sz w:val="24"/>
                <w:szCs w:val="24"/>
              </w:rPr>
            </w:pPr>
          </w:p>
        </w:tc>
      </w:tr>
      <w:tr w:rsidR="00AF7A0F" w:rsidRPr="00AF7A0F" w:rsidTr="00AF7A0F">
        <w:trPr>
          <w:trHeight w:val="315"/>
        </w:trPr>
        <w:tc>
          <w:tcPr>
            <w:tcW w:w="3519" w:type="dxa"/>
            <w:tcBorders>
              <w:top w:val="nil"/>
              <w:left w:val="single" w:sz="4" w:space="0" w:color="auto"/>
              <w:bottom w:val="single" w:sz="4" w:space="0" w:color="auto"/>
              <w:right w:val="single" w:sz="4" w:space="0" w:color="auto"/>
            </w:tcBorders>
            <w:shd w:val="clear" w:color="auto" w:fill="auto"/>
            <w:vAlign w:val="center"/>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NAV</w:t>
            </w:r>
          </w:p>
        </w:tc>
        <w:tc>
          <w:tcPr>
            <w:tcW w:w="1479"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xml:space="preserve">                4.65 </w:t>
            </w:r>
          </w:p>
        </w:tc>
        <w:tc>
          <w:tcPr>
            <w:tcW w:w="2700"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w:t>
            </w:r>
          </w:p>
        </w:tc>
        <w:tc>
          <w:tcPr>
            <w:tcW w:w="2042" w:type="dxa"/>
            <w:tcBorders>
              <w:top w:val="nil"/>
              <w:left w:val="nil"/>
              <w:bottom w:val="single" w:sz="4" w:space="0" w:color="auto"/>
              <w:right w:val="single" w:sz="4" w:space="0" w:color="auto"/>
            </w:tcBorders>
            <w:shd w:val="clear" w:color="auto" w:fill="auto"/>
            <w:noWrap/>
            <w:vAlign w:val="bottom"/>
            <w:hideMark/>
          </w:tcPr>
          <w:p w:rsidR="00AF7A0F" w:rsidRPr="00AF7A0F" w:rsidRDefault="00AF7A0F" w:rsidP="00481590">
            <w:pPr>
              <w:spacing w:after="0" w:line="240" w:lineRule="auto"/>
              <w:jc w:val="both"/>
              <w:rPr>
                <w:rFonts w:ascii="Times New Roman" w:eastAsia="Times New Roman" w:hAnsi="Times New Roman" w:cs="Times New Roman"/>
                <w:color w:val="000000"/>
                <w:sz w:val="24"/>
                <w:szCs w:val="24"/>
              </w:rPr>
            </w:pPr>
            <w:r w:rsidRPr="00AF7A0F">
              <w:rPr>
                <w:rFonts w:ascii="Times New Roman" w:eastAsia="Times New Roman" w:hAnsi="Times New Roman" w:cs="Times New Roman"/>
                <w:color w:val="000000"/>
                <w:sz w:val="24"/>
                <w:szCs w:val="24"/>
              </w:rPr>
              <w:t> </w:t>
            </w:r>
          </w:p>
        </w:tc>
      </w:tr>
    </w:tbl>
    <w:p w:rsidR="00F40996" w:rsidRDefault="00F40996" w:rsidP="00B20327">
      <w:pPr>
        <w:jc w:val="both"/>
        <w:rPr>
          <w:rFonts w:ascii="Times New Roman" w:hAnsi="Times New Roman" w:cs="Times New Roman"/>
          <w:sz w:val="24"/>
          <w:szCs w:val="24"/>
        </w:rPr>
      </w:pPr>
    </w:p>
    <w:p w:rsidR="00F40996" w:rsidRDefault="00F40996" w:rsidP="00B20327">
      <w:pPr>
        <w:jc w:val="both"/>
        <w:rPr>
          <w:rFonts w:ascii="Times New Roman" w:hAnsi="Times New Roman" w:cs="Times New Roman"/>
          <w:sz w:val="24"/>
          <w:szCs w:val="24"/>
        </w:rPr>
      </w:pPr>
    </w:p>
    <w:p w:rsidR="00F40996" w:rsidRDefault="00F40996" w:rsidP="00B20327">
      <w:pPr>
        <w:jc w:val="both"/>
        <w:rPr>
          <w:rFonts w:ascii="Times New Roman" w:hAnsi="Times New Roman" w:cs="Times New Roman"/>
          <w:sz w:val="24"/>
          <w:szCs w:val="24"/>
        </w:rPr>
      </w:pPr>
    </w:p>
    <w:p w:rsidR="00F40996" w:rsidRDefault="00F40996" w:rsidP="00B20327">
      <w:pPr>
        <w:jc w:val="both"/>
        <w:rPr>
          <w:rFonts w:ascii="Times New Roman" w:hAnsi="Times New Roman" w:cs="Times New Roman"/>
          <w:sz w:val="24"/>
          <w:szCs w:val="24"/>
        </w:rPr>
      </w:pPr>
    </w:p>
    <w:p w:rsidR="00F40996" w:rsidRDefault="00F40996" w:rsidP="00B20327">
      <w:pPr>
        <w:jc w:val="both"/>
        <w:rPr>
          <w:rFonts w:ascii="Times New Roman" w:hAnsi="Times New Roman" w:cs="Times New Roman"/>
          <w:sz w:val="24"/>
          <w:szCs w:val="24"/>
        </w:rPr>
      </w:pPr>
    </w:p>
    <w:p w:rsidR="00F40996" w:rsidRDefault="00F40996" w:rsidP="00B20327">
      <w:pPr>
        <w:jc w:val="both"/>
        <w:rPr>
          <w:rFonts w:ascii="Times New Roman" w:hAnsi="Times New Roman" w:cs="Times New Roman"/>
          <w:sz w:val="24"/>
          <w:szCs w:val="24"/>
        </w:rPr>
      </w:pPr>
    </w:p>
    <w:p w:rsidR="00F40996" w:rsidRDefault="00F40996" w:rsidP="00B20327">
      <w:pPr>
        <w:jc w:val="both"/>
        <w:rPr>
          <w:rFonts w:ascii="Times New Roman" w:hAnsi="Times New Roman" w:cs="Times New Roman"/>
          <w:sz w:val="24"/>
          <w:szCs w:val="24"/>
        </w:rPr>
      </w:pPr>
    </w:p>
    <w:p w:rsidR="009B4AB3" w:rsidRPr="00481590" w:rsidRDefault="009B4AB3" w:rsidP="00B20327">
      <w:pPr>
        <w:jc w:val="both"/>
        <w:rPr>
          <w:rFonts w:ascii="Times New Roman" w:hAnsi="Times New Roman" w:cs="Times New Roman"/>
          <w:sz w:val="24"/>
          <w:szCs w:val="24"/>
        </w:rPr>
      </w:pPr>
      <w:r>
        <w:rPr>
          <w:rFonts w:ascii="Times New Roman" w:hAnsi="Times New Roman" w:cs="Times New Roman"/>
          <w:sz w:val="24"/>
          <w:szCs w:val="24"/>
        </w:rPr>
        <w:lastRenderedPageBreak/>
        <w:t>The NAV as per current market price is given below:-</w:t>
      </w:r>
    </w:p>
    <w:tbl>
      <w:tblPr>
        <w:tblW w:w="8580" w:type="dxa"/>
        <w:tblInd w:w="93" w:type="dxa"/>
        <w:tblLook w:val="04A0" w:firstRow="1" w:lastRow="0" w:firstColumn="1" w:lastColumn="0" w:noHBand="0" w:noVBand="1"/>
      </w:tblPr>
      <w:tblGrid>
        <w:gridCol w:w="2885"/>
        <w:gridCol w:w="1502"/>
        <w:gridCol w:w="2043"/>
        <w:gridCol w:w="2150"/>
      </w:tblGrid>
      <w:tr w:rsidR="009B4AB3" w:rsidRPr="009B4AB3" w:rsidTr="009B4AB3">
        <w:trPr>
          <w:trHeight w:val="315"/>
        </w:trPr>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Number of Stocks Purchased</w:t>
            </w: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c>
          <w:tcPr>
            <w:tcW w:w="2150" w:type="dxa"/>
            <w:tcBorders>
              <w:top w:val="single" w:sz="4" w:space="0" w:color="auto"/>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r>
      <w:tr w:rsidR="009B4AB3" w:rsidRPr="009B4AB3" w:rsidTr="009B4AB3">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Stock’s Name</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9B4AB3" w:rsidRPr="009B4AB3" w:rsidRDefault="009B4AB3" w:rsidP="009B4AB3">
            <w:pPr>
              <w:spacing w:after="0" w:line="240" w:lineRule="auto"/>
              <w:rPr>
                <w:rFonts w:ascii="Times New Roman" w:eastAsia="Times New Roman" w:hAnsi="Times New Roman" w:cs="Times New Roman"/>
                <w:color w:val="00000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Current market Price</w:t>
            </w:r>
          </w:p>
        </w:tc>
        <w:tc>
          <w:tcPr>
            <w:tcW w:w="215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Current Market Value</w:t>
            </w:r>
          </w:p>
        </w:tc>
      </w:tr>
      <w:tr w:rsidR="009B4AB3" w:rsidRPr="009B4AB3" w:rsidTr="00F40996">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Fisher &amp; Pykel Healthcare ltd (FPH),</w:t>
            </w:r>
          </w:p>
        </w:tc>
        <w:tc>
          <w:tcPr>
            <w:tcW w:w="1502"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67,477.00</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7.65</w:t>
            </w:r>
          </w:p>
        </w:tc>
        <w:tc>
          <w:tcPr>
            <w:tcW w:w="2150" w:type="dxa"/>
            <w:tcBorders>
              <w:top w:val="nil"/>
              <w:left w:val="nil"/>
              <w:bottom w:val="single" w:sz="4" w:space="0" w:color="auto"/>
              <w:right w:val="single" w:sz="4" w:space="0" w:color="auto"/>
            </w:tcBorders>
            <w:shd w:val="clear" w:color="auto" w:fill="F79646" w:themeFill="accent6"/>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5028C6">
              <w:rPr>
                <w:rFonts w:ascii="Times New Roman" w:eastAsia="Times New Roman" w:hAnsi="Times New Roman" w:cs="Times New Roman"/>
                <w:color w:val="000000"/>
                <w:sz w:val="24"/>
                <w:szCs w:val="24"/>
              </w:rPr>
              <w:t>516,199.05</w:t>
            </w:r>
          </w:p>
        </w:tc>
      </w:tr>
      <w:tr w:rsidR="009B4AB3" w:rsidRPr="009B4AB3" w:rsidTr="009B4AB3">
        <w:trPr>
          <w:trHeight w:val="630"/>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Auckland International Airport Ltd (AIA)</w:t>
            </w:r>
          </w:p>
        </w:tc>
        <w:tc>
          <w:tcPr>
            <w:tcW w:w="1502"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94,787.00</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4.88</w:t>
            </w:r>
          </w:p>
        </w:tc>
        <w:tc>
          <w:tcPr>
            <w:tcW w:w="215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462,560.56</w:t>
            </w:r>
          </w:p>
        </w:tc>
      </w:tr>
      <w:tr w:rsidR="009B4AB3" w:rsidRPr="009B4AB3" w:rsidTr="00F40996">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Meridian Energy Ltd (MEL)</w:t>
            </w:r>
          </w:p>
        </w:tc>
        <w:tc>
          <w:tcPr>
            <w:tcW w:w="1502"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221,239.00</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2.22</w:t>
            </w:r>
          </w:p>
        </w:tc>
        <w:tc>
          <w:tcPr>
            <w:tcW w:w="2150" w:type="dxa"/>
            <w:tcBorders>
              <w:top w:val="nil"/>
              <w:left w:val="nil"/>
              <w:bottom w:val="single" w:sz="4" w:space="0" w:color="auto"/>
              <w:right w:val="single" w:sz="4" w:space="0" w:color="auto"/>
            </w:tcBorders>
            <w:shd w:val="clear" w:color="auto" w:fill="F79646" w:themeFill="accent6"/>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491,150.58</w:t>
            </w:r>
          </w:p>
        </w:tc>
      </w:tr>
      <w:tr w:rsidR="009B4AB3" w:rsidRPr="009B4AB3" w:rsidTr="009B4AB3">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Fletcher Building Ltd (FBU)</w:t>
            </w:r>
          </w:p>
        </w:tc>
        <w:tc>
          <w:tcPr>
            <w:tcW w:w="1502"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64,103.00</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7.26</w:t>
            </w:r>
          </w:p>
        </w:tc>
        <w:tc>
          <w:tcPr>
            <w:tcW w:w="215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465,387.78</w:t>
            </w:r>
          </w:p>
        </w:tc>
      </w:tr>
      <w:tr w:rsidR="009B4AB3" w:rsidRPr="009B4AB3" w:rsidTr="009B4AB3">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Infratil Ltd (IFT)</w:t>
            </w:r>
          </w:p>
        </w:tc>
        <w:tc>
          <w:tcPr>
            <w:tcW w:w="1502"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155,280.00</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3.05</w:t>
            </w:r>
          </w:p>
        </w:tc>
        <w:tc>
          <w:tcPr>
            <w:tcW w:w="215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473,604.00</w:t>
            </w:r>
          </w:p>
        </w:tc>
        <w:bookmarkStart w:id="0" w:name="_GoBack"/>
        <w:bookmarkEnd w:id="0"/>
      </w:tr>
      <w:tr w:rsidR="009B4AB3" w:rsidRPr="009B4AB3" w:rsidTr="00F40996">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Contact Energy Ltd (CEN)</w:t>
            </w:r>
          </w:p>
        </w:tc>
        <w:tc>
          <w:tcPr>
            <w:tcW w:w="1502"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96,339.00</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5.09</w:t>
            </w:r>
          </w:p>
        </w:tc>
        <w:tc>
          <w:tcPr>
            <w:tcW w:w="2150" w:type="dxa"/>
            <w:tcBorders>
              <w:top w:val="nil"/>
              <w:left w:val="nil"/>
              <w:bottom w:val="single" w:sz="4" w:space="0" w:color="auto"/>
              <w:right w:val="single" w:sz="4" w:space="0" w:color="auto"/>
            </w:tcBorders>
            <w:shd w:val="clear" w:color="auto" w:fill="F79646" w:themeFill="accent6"/>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490,365.51</w:t>
            </w:r>
          </w:p>
        </w:tc>
      </w:tr>
      <w:tr w:rsidR="009B4AB3" w:rsidRPr="009B4AB3" w:rsidTr="009B4AB3">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No. of Units</w:t>
            </w:r>
          </w:p>
        </w:tc>
        <w:tc>
          <w:tcPr>
            <w:tcW w:w="1502"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1,051,568.00</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c>
          <w:tcPr>
            <w:tcW w:w="215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r>
      <w:tr w:rsidR="009B4AB3" w:rsidRPr="009B4AB3" w:rsidTr="009B4AB3">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No. of Units investor hold</w:t>
            </w:r>
          </w:p>
        </w:tc>
        <w:tc>
          <w:tcPr>
            <w:tcW w:w="1502"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210314</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c>
          <w:tcPr>
            <w:tcW w:w="215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r>
      <w:tr w:rsidR="009B4AB3" w:rsidRPr="009B4AB3" w:rsidTr="009B4AB3">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Total Value</w:t>
            </w:r>
          </w:p>
        </w:tc>
        <w:tc>
          <w:tcPr>
            <w:tcW w:w="1502"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4,356,936.79</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c>
          <w:tcPr>
            <w:tcW w:w="215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r>
      <w:tr w:rsidR="009B4AB3" w:rsidRPr="009B4AB3" w:rsidTr="009B4AB3">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Cash</w:t>
            </w:r>
          </w:p>
        </w:tc>
        <w:tc>
          <w:tcPr>
            <w:tcW w:w="1502"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500,000.00</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c>
          <w:tcPr>
            <w:tcW w:w="215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r>
      <w:tr w:rsidR="009B4AB3" w:rsidRPr="009B4AB3" w:rsidTr="009B4AB3">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Total Fund Value</w:t>
            </w:r>
          </w:p>
        </w:tc>
        <w:tc>
          <w:tcPr>
            <w:tcW w:w="1502"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4,856,936.79</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c>
          <w:tcPr>
            <w:tcW w:w="215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r>
      <w:tr w:rsidR="009B4AB3" w:rsidRPr="009B4AB3" w:rsidTr="009B4AB3">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Total Fund Value investor hold</w:t>
            </w:r>
          </w:p>
        </w:tc>
        <w:tc>
          <w:tcPr>
            <w:tcW w:w="1502"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971389.2055</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c>
          <w:tcPr>
            <w:tcW w:w="215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r>
      <w:tr w:rsidR="009B4AB3" w:rsidRPr="009B4AB3" w:rsidTr="009B4AB3">
        <w:trPr>
          <w:trHeight w:val="31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NAV</w:t>
            </w:r>
          </w:p>
        </w:tc>
        <w:tc>
          <w:tcPr>
            <w:tcW w:w="1502"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4.618756742</w:t>
            </w:r>
          </w:p>
        </w:tc>
        <w:tc>
          <w:tcPr>
            <w:tcW w:w="2043"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c>
          <w:tcPr>
            <w:tcW w:w="215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r>
    </w:tbl>
    <w:p w:rsidR="00DC5558" w:rsidRDefault="00DC5558" w:rsidP="00481590">
      <w:pPr>
        <w:jc w:val="both"/>
        <w:rPr>
          <w:rFonts w:ascii="Times New Roman" w:hAnsi="Times New Roman" w:cs="Times New Roman"/>
          <w:sz w:val="24"/>
          <w:szCs w:val="24"/>
        </w:rPr>
      </w:pPr>
    </w:p>
    <w:p w:rsidR="009B4AB3" w:rsidRDefault="00DC5558" w:rsidP="00E61355">
      <w:pPr>
        <w:jc w:val="both"/>
        <w:rPr>
          <w:rFonts w:ascii="Times New Roman" w:hAnsi="Times New Roman" w:cs="Times New Roman"/>
          <w:sz w:val="24"/>
          <w:szCs w:val="24"/>
        </w:rPr>
      </w:pPr>
      <w:r>
        <w:rPr>
          <w:rFonts w:ascii="Times New Roman" w:hAnsi="Times New Roman" w:cs="Times New Roman"/>
          <w:sz w:val="24"/>
          <w:szCs w:val="24"/>
        </w:rPr>
        <w:t xml:space="preserve">The Benchmark of passive fund we set, we keep the tracking error at 5%. </w:t>
      </w:r>
      <w:r w:rsidR="009B4AB3">
        <w:rPr>
          <w:rFonts w:ascii="Times New Roman" w:hAnsi="Times New Roman" w:cs="Times New Roman"/>
          <w:sz w:val="24"/>
          <w:szCs w:val="24"/>
        </w:rPr>
        <w:t>Th</w:t>
      </w:r>
      <w:r w:rsidR="00DA7DE5">
        <w:rPr>
          <w:rFonts w:ascii="Times New Roman" w:hAnsi="Times New Roman" w:cs="Times New Roman"/>
          <w:sz w:val="24"/>
          <w:szCs w:val="24"/>
        </w:rPr>
        <w:t>e analysis clearly shows that NA</w:t>
      </w:r>
      <w:r w:rsidR="009B4AB3">
        <w:rPr>
          <w:rFonts w:ascii="Times New Roman" w:hAnsi="Times New Roman" w:cs="Times New Roman"/>
          <w:sz w:val="24"/>
          <w:szCs w:val="24"/>
        </w:rPr>
        <w:t xml:space="preserve">V decreases from 4.65 to 4.618 due to recent market turmoil. Now, investors want to inject 1200000 fresh funds so it must be invested in the top 3 best performing fund i.e. FPH, MEL and CEN respectively. But since only FPH gives positive return so we will invest50% in FPH and rest 50% in equal proportion in other two. </w:t>
      </w:r>
      <w:r w:rsidR="00E61355">
        <w:rPr>
          <w:rFonts w:ascii="Times New Roman" w:hAnsi="Times New Roman" w:cs="Times New Roman"/>
          <w:sz w:val="24"/>
          <w:szCs w:val="24"/>
        </w:rPr>
        <w:t xml:space="preserve">As a result, we should totally invest FPH at 600000 dollars and totally at 78431 units. MEL and CEN at 25%, and the new invest units will be 135135 units and 58939 units. </w:t>
      </w:r>
      <w:r w:rsidR="009B4AB3">
        <w:rPr>
          <w:rFonts w:ascii="Times New Roman" w:hAnsi="Times New Roman" w:cs="Times New Roman"/>
          <w:sz w:val="24"/>
          <w:szCs w:val="24"/>
        </w:rPr>
        <w:t>The above strategy helps to create more profit for the fund in the future. The no. of new unit invested as per current NAV is given below:-</w:t>
      </w:r>
    </w:p>
    <w:tbl>
      <w:tblPr>
        <w:tblW w:w="5660" w:type="dxa"/>
        <w:tblInd w:w="93" w:type="dxa"/>
        <w:tblLook w:val="04A0" w:firstRow="1" w:lastRow="0" w:firstColumn="1" w:lastColumn="0" w:noHBand="0" w:noVBand="1"/>
      </w:tblPr>
      <w:tblGrid>
        <w:gridCol w:w="4000"/>
        <w:gridCol w:w="1660"/>
      </w:tblGrid>
      <w:tr w:rsidR="009B4AB3" w:rsidRPr="009B4AB3" w:rsidTr="009B4AB3">
        <w:trPr>
          <w:trHeight w:val="31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Amount </w:t>
            </w:r>
            <w:r w:rsidR="005028C6" w:rsidRPr="009B4AB3">
              <w:rPr>
                <w:rFonts w:ascii="Times New Roman" w:eastAsia="Times New Roman" w:hAnsi="Times New Roman" w:cs="Times New Roman"/>
                <w:color w:val="000000"/>
                <w:sz w:val="24"/>
                <w:szCs w:val="24"/>
              </w:rPr>
              <w:t>Invested</w:t>
            </w:r>
            <w:r w:rsidRPr="009B4AB3">
              <w:rPr>
                <w:rFonts w:ascii="Times New Roman" w:eastAsia="Times New Roman" w:hAnsi="Times New Roman" w:cs="Times New Roman"/>
                <w:color w:val="000000"/>
                <w:sz w:val="24"/>
                <w:szCs w:val="24"/>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    1,200,000.00 </w:t>
            </w:r>
          </w:p>
        </w:tc>
      </w:tr>
      <w:tr w:rsidR="009B4AB3" w:rsidRPr="009B4AB3" w:rsidTr="009B4AB3">
        <w:trPr>
          <w:trHeight w:val="31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 New unit injected </w:t>
            </w:r>
          </w:p>
        </w:tc>
        <w:tc>
          <w:tcPr>
            <w:tcW w:w="166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Arial" w:eastAsia="Times New Roman" w:hAnsi="Arial" w:cs="Arial"/>
                <w:color w:val="000000"/>
                <w:sz w:val="20"/>
                <w:szCs w:val="20"/>
              </w:rPr>
            </w:pPr>
            <w:r w:rsidRPr="009B4AB3">
              <w:rPr>
                <w:rFonts w:ascii="Arial" w:eastAsia="Times New Roman" w:hAnsi="Arial" w:cs="Arial"/>
                <w:color w:val="000000"/>
                <w:sz w:val="20"/>
                <w:szCs w:val="20"/>
              </w:rPr>
              <w:t xml:space="preserve">         259,810.18 </w:t>
            </w:r>
          </w:p>
        </w:tc>
      </w:tr>
    </w:tbl>
    <w:p w:rsidR="009B4AB3" w:rsidRPr="00481590" w:rsidRDefault="009B4AB3" w:rsidP="00481590">
      <w:pPr>
        <w:jc w:val="both"/>
        <w:rPr>
          <w:rFonts w:ascii="Times New Roman" w:hAnsi="Times New Roman" w:cs="Times New Roman"/>
          <w:sz w:val="24"/>
          <w:szCs w:val="24"/>
        </w:rPr>
      </w:pPr>
    </w:p>
    <w:p w:rsidR="00AD3B42" w:rsidRDefault="00AD3B42" w:rsidP="00481590">
      <w:pPr>
        <w:pStyle w:val="Heading1"/>
      </w:pPr>
    </w:p>
    <w:p w:rsidR="00481590" w:rsidRDefault="00481590" w:rsidP="00481590">
      <w:pPr>
        <w:pStyle w:val="Heading1"/>
      </w:pPr>
      <w:r w:rsidRPr="00481590">
        <w:t>Active Funds</w:t>
      </w:r>
    </w:p>
    <w:p w:rsidR="009B4AB3" w:rsidRPr="00481590" w:rsidRDefault="009B4AB3" w:rsidP="009B4AB3">
      <w:pPr>
        <w:jc w:val="both"/>
        <w:rPr>
          <w:rFonts w:ascii="Times New Roman" w:hAnsi="Times New Roman" w:cs="Times New Roman"/>
          <w:sz w:val="24"/>
          <w:szCs w:val="24"/>
        </w:rPr>
      </w:pPr>
      <w:r w:rsidRPr="00481590">
        <w:rPr>
          <w:rFonts w:ascii="Times New Roman" w:hAnsi="Times New Roman" w:cs="Times New Roman"/>
          <w:sz w:val="24"/>
          <w:szCs w:val="24"/>
        </w:rPr>
        <w:t xml:space="preserve">The NAV </w:t>
      </w:r>
      <w:r>
        <w:rPr>
          <w:rFonts w:ascii="Times New Roman" w:hAnsi="Times New Roman" w:cs="Times New Roman"/>
          <w:sz w:val="24"/>
          <w:szCs w:val="24"/>
        </w:rPr>
        <w:t>at the time of report 3</w:t>
      </w:r>
      <w:r w:rsidRPr="00481590">
        <w:rPr>
          <w:rFonts w:ascii="Times New Roman" w:hAnsi="Times New Roman" w:cs="Times New Roman"/>
          <w:sz w:val="24"/>
          <w:szCs w:val="24"/>
        </w:rPr>
        <w:t xml:space="preserve"> is given below:-</w:t>
      </w:r>
    </w:p>
    <w:tbl>
      <w:tblPr>
        <w:tblW w:w="7980" w:type="dxa"/>
        <w:tblInd w:w="93" w:type="dxa"/>
        <w:tblLook w:val="04A0" w:firstRow="1" w:lastRow="0" w:firstColumn="1" w:lastColumn="0" w:noHBand="0" w:noVBand="1"/>
      </w:tblPr>
      <w:tblGrid>
        <w:gridCol w:w="2460"/>
        <w:gridCol w:w="2300"/>
        <w:gridCol w:w="1560"/>
        <w:gridCol w:w="1660"/>
      </w:tblGrid>
      <w:tr w:rsidR="00481590" w:rsidRPr="00481590" w:rsidTr="00481590">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r w:rsidRPr="00481590">
              <w:rPr>
                <w:rFonts w:ascii="Times New Roman" w:eastAsia="Times New Roman" w:hAnsi="Times New Roman" w:cs="Times New Roman"/>
                <w:bCs/>
                <w:color w:val="000000"/>
                <w:sz w:val="24"/>
                <w:szCs w:val="24"/>
              </w:rPr>
              <w:t> </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r w:rsidRPr="00481590">
              <w:rPr>
                <w:rFonts w:ascii="Times New Roman" w:eastAsia="Times New Roman" w:hAnsi="Times New Roman" w:cs="Times New Roman"/>
                <w:bCs/>
                <w:color w:val="000000"/>
                <w:sz w:val="24"/>
                <w:szCs w:val="24"/>
              </w:rPr>
              <w:t>Market Price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r w:rsidRPr="00481590">
              <w:rPr>
                <w:rFonts w:ascii="Times New Roman" w:eastAsia="Times New Roman" w:hAnsi="Times New Roman" w:cs="Times New Roman"/>
                <w:bCs/>
                <w:color w:val="000000"/>
                <w:sz w:val="24"/>
                <w:szCs w:val="24"/>
              </w:rPr>
              <w:t>Number of Stocks Purchased</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r w:rsidRPr="00481590">
              <w:rPr>
                <w:rFonts w:ascii="Times New Roman" w:eastAsia="Times New Roman" w:hAnsi="Times New Roman" w:cs="Times New Roman"/>
                <w:bCs/>
                <w:color w:val="000000"/>
                <w:sz w:val="24"/>
                <w:szCs w:val="24"/>
              </w:rPr>
              <w:t>Total value</w:t>
            </w: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r w:rsidRPr="00481590">
              <w:rPr>
                <w:rFonts w:ascii="Times New Roman" w:eastAsia="Times New Roman" w:hAnsi="Times New Roman" w:cs="Times New Roman"/>
                <w:bCs/>
                <w:color w:val="000000"/>
                <w:sz w:val="24"/>
                <w:szCs w:val="24"/>
              </w:rPr>
              <w:t>Stock’s Name</w:t>
            </w: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Delegat Group Ltd (DGL)</w:t>
            </w:r>
          </w:p>
        </w:tc>
        <w:tc>
          <w:tcPr>
            <w:tcW w:w="230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$5.40 </w:t>
            </w:r>
          </w:p>
        </w:tc>
        <w:tc>
          <w:tcPr>
            <w:tcW w:w="15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138,889</w:t>
            </w:r>
          </w:p>
        </w:tc>
        <w:tc>
          <w:tcPr>
            <w:tcW w:w="16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$750,000.60 </w:t>
            </w: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Ebos Group Ltd (EBO)</w:t>
            </w:r>
          </w:p>
        </w:tc>
        <w:tc>
          <w:tcPr>
            <w:tcW w:w="230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$10.80 </w:t>
            </w:r>
          </w:p>
        </w:tc>
        <w:tc>
          <w:tcPr>
            <w:tcW w:w="15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69,444</w:t>
            </w:r>
          </w:p>
        </w:tc>
        <w:tc>
          <w:tcPr>
            <w:tcW w:w="16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$749,999.52 </w:t>
            </w: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Fletcher Building Ltd (FBU)</w:t>
            </w:r>
          </w:p>
        </w:tc>
        <w:tc>
          <w:tcPr>
            <w:tcW w:w="230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$7.80 </w:t>
            </w:r>
          </w:p>
        </w:tc>
        <w:tc>
          <w:tcPr>
            <w:tcW w:w="15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96,154</w:t>
            </w:r>
          </w:p>
        </w:tc>
        <w:tc>
          <w:tcPr>
            <w:tcW w:w="16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$750,001.20 </w:t>
            </w:r>
          </w:p>
        </w:tc>
      </w:tr>
      <w:tr w:rsidR="00481590" w:rsidRPr="00481590" w:rsidTr="00481590">
        <w:trPr>
          <w:trHeight w:val="63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Kiwi Property Group Ltd (KPG)</w:t>
            </w:r>
          </w:p>
        </w:tc>
        <w:tc>
          <w:tcPr>
            <w:tcW w:w="230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$1.37 </w:t>
            </w:r>
          </w:p>
        </w:tc>
        <w:tc>
          <w:tcPr>
            <w:tcW w:w="15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547,445</w:t>
            </w:r>
          </w:p>
        </w:tc>
        <w:tc>
          <w:tcPr>
            <w:tcW w:w="16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$749,999.60 </w:t>
            </w: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Hellaby Holding Ltd (HBY)</w:t>
            </w:r>
          </w:p>
        </w:tc>
        <w:tc>
          <w:tcPr>
            <w:tcW w:w="230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$2.85 </w:t>
            </w:r>
          </w:p>
        </w:tc>
        <w:tc>
          <w:tcPr>
            <w:tcW w:w="15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263,158</w:t>
            </w:r>
          </w:p>
        </w:tc>
        <w:tc>
          <w:tcPr>
            <w:tcW w:w="16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$750,000.30 </w:t>
            </w: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Infratil Ltd (IFT)</w:t>
            </w:r>
          </w:p>
        </w:tc>
        <w:tc>
          <w:tcPr>
            <w:tcW w:w="230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$3.22 </w:t>
            </w:r>
          </w:p>
        </w:tc>
        <w:tc>
          <w:tcPr>
            <w:tcW w:w="15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232,919</w:t>
            </w:r>
          </w:p>
        </w:tc>
        <w:tc>
          <w:tcPr>
            <w:tcW w:w="16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$749,999.18 </w:t>
            </w: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Genesis Energy Ltd (GNE)</w:t>
            </w:r>
          </w:p>
        </w:tc>
        <w:tc>
          <w:tcPr>
            <w:tcW w:w="230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$1.73 </w:t>
            </w:r>
          </w:p>
        </w:tc>
        <w:tc>
          <w:tcPr>
            <w:tcW w:w="15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433,526</w:t>
            </w:r>
          </w:p>
        </w:tc>
        <w:tc>
          <w:tcPr>
            <w:tcW w:w="16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$749,999.98 </w:t>
            </w:r>
          </w:p>
        </w:tc>
      </w:tr>
      <w:tr w:rsidR="00481590" w:rsidRPr="00481590" w:rsidTr="00481590">
        <w:trPr>
          <w:trHeight w:val="255"/>
        </w:trPr>
        <w:tc>
          <w:tcPr>
            <w:tcW w:w="24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c>
          <w:tcPr>
            <w:tcW w:w="230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r>
      <w:tr w:rsidR="00481590" w:rsidRPr="00481590" w:rsidTr="00481590">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r w:rsidRPr="00481590">
              <w:rPr>
                <w:rFonts w:ascii="Times New Roman" w:eastAsia="Times New Roman" w:hAnsi="Times New Roman" w:cs="Times New Roman"/>
                <w:bCs/>
                <w:color w:val="000000"/>
                <w:sz w:val="24"/>
                <w:szCs w:val="24"/>
              </w:rPr>
              <w:t>Bond’s Name</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r w:rsidRPr="00481590">
              <w:rPr>
                <w:rFonts w:ascii="Times New Roman" w:eastAsia="Times New Roman" w:hAnsi="Times New Roman" w:cs="Times New Roman"/>
                <w:bCs/>
                <w:color w:val="000000"/>
                <w:sz w:val="24"/>
                <w:szCs w:val="24"/>
              </w:rPr>
              <w:t>Current market price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r w:rsidRPr="00481590">
              <w:rPr>
                <w:rFonts w:ascii="Times New Roman" w:eastAsia="Times New Roman" w:hAnsi="Times New Roman" w:cs="Times New Roman"/>
                <w:bCs/>
                <w:color w:val="000000"/>
                <w:sz w:val="24"/>
                <w:szCs w:val="24"/>
              </w:rPr>
              <w:t>Volume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bCs/>
                <w:color w:val="000000"/>
                <w:sz w:val="24"/>
                <w:szCs w:val="24"/>
              </w:rPr>
            </w:pPr>
            <w:r w:rsidRPr="00481590">
              <w:rPr>
                <w:rFonts w:ascii="Times New Roman" w:eastAsia="Times New Roman" w:hAnsi="Times New Roman" w:cs="Times New Roman"/>
                <w:bCs/>
                <w:color w:val="000000"/>
                <w:sz w:val="24"/>
                <w:szCs w:val="24"/>
              </w:rPr>
              <w:t>Total value</w:t>
            </w: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Z Energy Ltd (ZEL020)</w:t>
            </w:r>
          </w:p>
        </w:tc>
        <w:tc>
          <w:tcPr>
            <w:tcW w:w="230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$108.87 </w:t>
            </w:r>
          </w:p>
        </w:tc>
        <w:tc>
          <w:tcPr>
            <w:tcW w:w="15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9,186</w:t>
            </w:r>
          </w:p>
        </w:tc>
        <w:tc>
          <w:tcPr>
            <w:tcW w:w="16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$1,000,052.26 </w:t>
            </w: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Vector Ltd (VCT070)</w:t>
            </w:r>
          </w:p>
        </w:tc>
        <w:tc>
          <w:tcPr>
            <w:tcW w:w="230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$105.68 </w:t>
            </w:r>
          </w:p>
        </w:tc>
        <w:tc>
          <w:tcPr>
            <w:tcW w:w="15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9,463</w:t>
            </w:r>
          </w:p>
        </w:tc>
        <w:tc>
          <w:tcPr>
            <w:tcW w:w="1660" w:type="dxa"/>
            <w:tcBorders>
              <w:top w:val="nil"/>
              <w:left w:val="nil"/>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$1,000,021.45 </w:t>
            </w:r>
          </w:p>
        </w:tc>
      </w:tr>
      <w:tr w:rsidR="00481590" w:rsidRPr="00481590" w:rsidTr="00481590">
        <w:trPr>
          <w:trHeight w:val="255"/>
        </w:trPr>
        <w:tc>
          <w:tcPr>
            <w:tcW w:w="24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c>
          <w:tcPr>
            <w:tcW w:w="230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r>
      <w:tr w:rsidR="00481590" w:rsidRPr="00481590" w:rsidTr="00481590">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 No. of Units </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                 2,190,875.00 </w:t>
            </w:r>
          </w:p>
        </w:tc>
        <w:tc>
          <w:tcPr>
            <w:tcW w:w="15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r>
      <w:tr w:rsidR="009A1FE8" w:rsidRPr="00481590" w:rsidTr="00481590">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9A1FE8" w:rsidRPr="00481590" w:rsidRDefault="009A1FE8" w:rsidP="004815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of  Units investor Hold</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9A1FE8" w:rsidRPr="00481590" w:rsidRDefault="009A1FE8" w:rsidP="004815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438175</w:t>
            </w:r>
          </w:p>
        </w:tc>
        <w:tc>
          <w:tcPr>
            <w:tcW w:w="1560" w:type="dxa"/>
            <w:tcBorders>
              <w:top w:val="nil"/>
              <w:left w:val="nil"/>
              <w:bottom w:val="nil"/>
              <w:right w:val="nil"/>
            </w:tcBorders>
            <w:shd w:val="clear" w:color="auto" w:fill="auto"/>
            <w:noWrap/>
            <w:vAlign w:val="bottom"/>
          </w:tcPr>
          <w:p w:rsidR="009A1FE8" w:rsidRPr="00481590" w:rsidRDefault="009A1FE8" w:rsidP="00481590">
            <w:pPr>
              <w:spacing w:after="0" w:line="240" w:lineRule="auto"/>
              <w:jc w:val="both"/>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tcPr>
          <w:p w:rsidR="009A1FE8" w:rsidRPr="00481590" w:rsidRDefault="009A1FE8" w:rsidP="00481590">
            <w:pPr>
              <w:spacing w:after="0" w:line="240" w:lineRule="auto"/>
              <w:jc w:val="both"/>
              <w:rPr>
                <w:rFonts w:ascii="Times New Roman" w:eastAsia="Times New Roman" w:hAnsi="Times New Roman" w:cs="Times New Roman"/>
                <w:color w:val="000000"/>
                <w:sz w:val="24"/>
                <w:szCs w:val="24"/>
              </w:rPr>
            </w:pP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 Total Value </w:t>
            </w:r>
          </w:p>
        </w:tc>
        <w:tc>
          <w:tcPr>
            <w:tcW w:w="2300" w:type="dxa"/>
            <w:tcBorders>
              <w:top w:val="nil"/>
              <w:left w:val="nil"/>
              <w:bottom w:val="single" w:sz="4" w:space="0" w:color="auto"/>
              <w:right w:val="single" w:sz="4" w:space="0" w:color="auto"/>
            </w:tcBorders>
            <w:shd w:val="clear" w:color="auto" w:fill="auto"/>
            <w:noWrap/>
            <w:vAlign w:val="bottom"/>
            <w:hideMark/>
          </w:tcPr>
          <w:p w:rsidR="00481590" w:rsidRPr="00481590" w:rsidRDefault="001D0D31" w:rsidP="004815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1590" w:rsidRPr="00481590">
              <w:rPr>
                <w:rFonts w:ascii="Times New Roman" w:eastAsia="Times New Roman" w:hAnsi="Times New Roman" w:cs="Times New Roman"/>
                <w:color w:val="000000"/>
                <w:sz w:val="24"/>
                <w:szCs w:val="24"/>
              </w:rPr>
              <w:t xml:space="preserve">,500,077.06 </w:t>
            </w:r>
          </w:p>
        </w:tc>
        <w:tc>
          <w:tcPr>
            <w:tcW w:w="15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 Cash </w:t>
            </w:r>
          </w:p>
        </w:tc>
        <w:tc>
          <w:tcPr>
            <w:tcW w:w="2300" w:type="dxa"/>
            <w:tcBorders>
              <w:top w:val="nil"/>
              <w:left w:val="nil"/>
              <w:bottom w:val="single" w:sz="4" w:space="0" w:color="auto"/>
              <w:right w:val="single" w:sz="4" w:space="0" w:color="auto"/>
            </w:tcBorders>
            <w:shd w:val="clear" w:color="auto" w:fill="auto"/>
            <w:noWrap/>
            <w:vAlign w:val="bottom"/>
            <w:hideMark/>
          </w:tcPr>
          <w:p w:rsidR="00481590" w:rsidRPr="00481590" w:rsidRDefault="00481590" w:rsidP="001D0D31">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                                </w:t>
            </w:r>
            <w:r w:rsidR="001D0D31" w:rsidRPr="00481590">
              <w:rPr>
                <w:rFonts w:ascii="Times New Roman" w:eastAsia="Times New Roman" w:hAnsi="Times New Roman" w:cs="Times New Roman"/>
                <w:color w:val="000000"/>
                <w:sz w:val="24"/>
                <w:szCs w:val="24"/>
              </w:rPr>
              <w:t>$</w:t>
            </w:r>
            <w:r w:rsidR="001D0D31">
              <w:rPr>
                <w:rFonts w:ascii="Times New Roman" w:eastAsia="Times New Roman" w:hAnsi="Times New Roman" w:cs="Times New Roman"/>
                <w:color w:val="000000"/>
                <w:sz w:val="24"/>
                <w:szCs w:val="24"/>
              </w:rPr>
              <w:t>500000</w:t>
            </w:r>
          </w:p>
        </w:tc>
        <w:tc>
          <w:tcPr>
            <w:tcW w:w="15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 Total Fund Value </w:t>
            </w:r>
          </w:p>
        </w:tc>
        <w:tc>
          <w:tcPr>
            <w:tcW w:w="2300" w:type="dxa"/>
            <w:tcBorders>
              <w:top w:val="nil"/>
              <w:left w:val="nil"/>
              <w:bottom w:val="single" w:sz="4" w:space="0" w:color="auto"/>
              <w:right w:val="single" w:sz="4" w:space="0" w:color="auto"/>
            </w:tcBorders>
            <w:shd w:val="clear" w:color="auto" w:fill="auto"/>
            <w:noWrap/>
            <w:vAlign w:val="bottom"/>
            <w:hideMark/>
          </w:tcPr>
          <w:p w:rsidR="00481590" w:rsidRPr="00481590" w:rsidRDefault="001D0D31" w:rsidP="004815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815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10,0</w:t>
            </w:r>
            <w:r w:rsidR="00481590" w:rsidRPr="00481590">
              <w:rPr>
                <w:rFonts w:ascii="Times New Roman" w:eastAsia="Times New Roman" w:hAnsi="Times New Roman" w:cs="Times New Roman"/>
                <w:color w:val="000000"/>
                <w:sz w:val="24"/>
                <w:szCs w:val="24"/>
              </w:rPr>
              <w:t xml:space="preserve">00,077.06 </w:t>
            </w:r>
          </w:p>
        </w:tc>
        <w:tc>
          <w:tcPr>
            <w:tcW w:w="15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r>
      <w:tr w:rsidR="009A1FE8"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tcPr>
          <w:p w:rsidR="009A1FE8" w:rsidRPr="00481590" w:rsidRDefault="009A1FE8" w:rsidP="004815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Fund Value investor hold</w:t>
            </w:r>
          </w:p>
        </w:tc>
        <w:tc>
          <w:tcPr>
            <w:tcW w:w="2300" w:type="dxa"/>
            <w:tcBorders>
              <w:top w:val="nil"/>
              <w:left w:val="nil"/>
              <w:bottom w:val="single" w:sz="4" w:space="0" w:color="auto"/>
              <w:right w:val="single" w:sz="4" w:space="0" w:color="auto"/>
            </w:tcBorders>
            <w:shd w:val="clear" w:color="auto" w:fill="auto"/>
            <w:noWrap/>
            <w:vAlign w:val="bottom"/>
          </w:tcPr>
          <w:p w:rsidR="009A1FE8" w:rsidRPr="00481590" w:rsidRDefault="001D0D31"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w:t>
            </w:r>
            <w:r w:rsidR="009A1FE8">
              <w:rPr>
                <w:rFonts w:ascii="Times New Roman" w:eastAsia="Times New Roman" w:hAnsi="Times New Roman" w:cs="Times New Roman"/>
                <w:color w:val="000000"/>
                <w:sz w:val="24"/>
                <w:szCs w:val="24"/>
              </w:rPr>
              <w:t>2,000,000</w:t>
            </w:r>
          </w:p>
        </w:tc>
        <w:tc>
          <w:tcPr>
            <w:tcW w:w="1560" w:type="dxa"/>
            <w:tcBorders>
              <w:top w:val="nil"/>
              <w:left w:val="nil"/>
              <w:bottom w:val="nil"/>
              <w:right w:val="nil"/>
            </w:tcBorders>
            <w:shd w:val="clear" w:color="auto" w:fill="auto"/>
            <w:noWrap/>
            <w:vAlign w:val="bottom"/>
          </w:tcPr>
          <w:p w:rsidR="009A1FE8" w:rsidRPr="00481590" w:rsidRDefault="009A1FE8" w:rsidP="00481590">
            <w:pPr>
              <w:spacing w:after="0" w:line="240" w:lineRule="auto"/>
              <w:jc w:val="both"/>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tcPr>
          <w:p w:rsidR="009A1FE8" w:rsidRPr="00481590" w:rsidRDefault="009A1FE8" w:rsidP="00481590">
            <w:pPr>
              <w:spacing w:after="0" w:line="240" w:lineRule="auto"/>
              <w:jc w:val="both"/>
              <w:rPr>
                <w:rFonts w:ascii="Times New Roman" w:eastAsia="Times New Roman" w:hAnsi="Times New Roman" w:cs="Times New Roman"/>
                <w:color w:val="000000"/>
                <w:sz w:val="24"/>
                <w:szCs w:val="24"/>
              </w:rPr>
            </w:pPr>
          </w:p>
        </w:tc>
      </w:tr>
      <w:tr w:rsidR="00481590" w:rsidRPr="00481590" w:rsidTr="00481590">
        <w:trPr>
          <w:trHeight w:val="3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 NAV </w:t>
            </w:r>
          </w:p>
        </w:tc>
        <w:tc>
          <w:tcPr>
            <w:tcW w:w="2300" w:type="dxa"/>
            <w:tcBorders>
              <w:top w:val="nil"/>
              <w:left w:val="nil"/>
              <w:bottom w:val="single" w:sz="4" w:space="0" w:color="auto"/>
              <w:right w:val="single" w:sz="4" w:space="0" w:color="auto"/>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r w:rsidRPr="00481590">
              <w:rPr>
                <w:rFonts w:ascii="Times New Roman" w:eastAsia="Times New Roman" w:hAnsi="Times New Roman" w:cs="Times New Roman"/>
                <w:color w:val="000000"/>
                <w:sz w:val="24"/>
                <w:szCs w:val="24"/>
              </w:rPr>
              <w:t xml:space="preserve">                             4.34 </w:t>
            </w:r>
          </w:p>
        </w:tc>
        <w:tc>
          <w:tcPr>
            <w:tcW w:w="15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481590" w:rsidRPr="00481590" w:rsidRDefault="00481590" w:rsidP="00481590">
            <w:pPr>
              <w:spacing w:after="0" w:line="240" w:lineRule="auto"/>
              <w:jc w:val="both"/>
              <w:rPr>
                <w:rFonts w:ascii="Times New Roman" w:eastAsia="Times New Roman" w:hAnsi="Times New Roman" w:cs="Times New Roman"/>
                <w:color w:val="000000"/>
                <w:sz w:val="24"/>
                <w:szCs w:val="24"/>
              </w:rPr>
            </w:pPr>
          </w:p>
        </w:tc>
      </w:tr>
    </w:tbl>
    <w:p w:rsidR="00AD3B42" w:rsidRDefault="00AD3B42" w:rsidP="00481590">
      <w:pPr>
        <w:jc w:val="both"/>
        <w:rPr>
          <w:rFonts w:ascii="Times New Roman" w:hAnsi="Times New Roman" w:cs="Times New Roman"/>
          <w:sz w:val="24"/>
          <w:szCs w:val="24"/>
        </w:rPr>
      </w:pPr>
    </w:p>
    <w:p w:rsidR="00481590" w:rsidRPr="00481590" w:rsidRDefault="00481590" w:rsidP="00481590">
      <w:pPr>
        <w:jc w:val="both"/>
        <w:rPr>
          <w:rFonts w:ascii="Times New Roman" w:hAnsi="Times New Roman" w:cs="Times New Roman"/>
          <w:sz w:val="24"/>
          <w:szCs w:val="24"/>
        </w:rPr>
      </w:pPr>
      <w:r w:rsidRPr="00481590">
        <w:rPr>
          <w:rFonts w:ascii="Times New Roman" w:hAnsi="Times New Roman" w:cs="Times New Roman"/>
          <w:sz w:val="24"/>
          <w:szCs w:val="24"/>
        </w:rPr>
        <w:t>The NAV as per current Market price is given below:-</w:t>
      </w:r>
    </w:p>
    <w:tbl>
      <w:tblPr>
        <w:tblW w:w="8700" w:type="dxa"/>
        <w:tblInd w:w="93" w:type="dxa"/>
        <w:tblLook w:val="04A0" w:firstRow="1" w:lastRow="0" w:firstColumn="1" w:lastColumn="0" w:noHBand="0" w:noVBand="1"/>
      </w:tblPr>
      <w:tblGrid>
        <w:gridCol w:w="3360"/>
        <w:gridCol w:w="1980"/>
        <w:gridCol w:w="1680"/>
        <w:gridCol w:w="1680"/>
      </w:tblGrid>
      <w:tr w:rsidR="009B4AB3" w:rsidRPr="009B4AB3" w:rsidTr="009B4AB3">
        <w:trPr>
          <w:trHeight w:val="315"/>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lastRenderedPageBreak/>
              <w:t>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Current Market Price</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Number of Stocks Purchased</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Total value</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Stock’s Name</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B4AB3" w:rsidRPr="009B4AB3" w:rsidRDefault="009B4AB3" w:rsidP="009B4AB3">
            <w:pPr>
              <w:spacing w:after="0" w:line="240" w:lineRule="auto"/>
              <w:rPr>
                <w:rFonts w:ascii="Times New Roman" w:eastAsia="Times New Roman" w:hAnsi="Times New Roman" w:cs="Times New Roman"/>
                <w:color w:val="000000"/>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9B4AB3" w:rsidRPr="009B4AB3" w:rsidRDefault="009B4AB3" w:rsidP="009B4AB3">
            <w:pPr>
              <w:spacing w:after="0" w:line="240" w:lineRule="auto"/>
              <w:rPr>
                <w:rFonts w:ascii="Times New Roman" w:eastAsia="Times New Roman" w:hAnsi="Times New Roman" w:cs="Times New Roman"/>
                <w:color w:val="000000"/>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9B4AB3" w:rsidRPr="009B4AB3" w:rsidRDefault="009B4AB3" w:rsidP="009B4AB3">
            <w:pPr>
              <w:spacing w:after="0" w:line="240" w:lineRule="auto"/>
              <w:rPr>
                <w:rFonts w:ascii="Times New Roman" w:eastAsia="Times New Roman" w:hAnsi="Times New Roman" w:cs="Times New Roman"/>
                <w:color w:val="000000"/>
                <w:sz w:val="24"/>
                <w:szCs w:val="24"/>
              </w:rPr>
            </w:pP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Delegat Group Ltd (DGL)</w:t>
            </w:r>
          </w:p>
        </w:tc>
        <w:tc>
          <w:tcPr>
            <w:tcW w:w="19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$5.30 </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138,889</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$736,111.70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Ebos Group Ltd (EBO)</w:t>
            </w:r>
          </w:p>
        </w:tc>
        <w:tc>
          <w:tcPr>
            <w:tcW w:w="19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$11.41 </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69,444</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$792,356.04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Fletcher Building Ltd (FBU)</w:t>
            </w:r>
          </w:p>
        </w:tc>
        <w:tc>
          <w:tcPr>
            <w:tcW w:w="19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$7.26 </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96,154</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$698,078.04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Kiwi Property Group Ltd (KPG)</w:t>
            </w:r>
          </w:p>
        </w:tc>
        <w:tc>
          <w:tcPr>
            <w:tcW w:w="19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$1.29 </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547,445</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$706,204.05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Hellaby Holding Ltd (HBY)</w:t>
            </w:r>
          </w:p>
        </w:tc>
        <w:tc>
          <w:tcPr>
            <w:tcW w:w="19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$2.91 </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263,158</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$765,789.78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Infratil Ltd (IFT)</w:t>
            </w:r>
          </w:p>
        </w:tc>
        <w:tc>
          <w:tcPr>
            <w:tcW w:w="19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$3.05 </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232,919</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$710,402.95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Genesis Energy Ltd (GNE)</w:t>
            </w:r>
          </w:p>
        </w:tc>
        <w:tc>
          <w:tcPr>
            <w:tcW w:w="19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$1.93 </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433,526</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$836,705.18 </w:t>
            </w:r>
          </w:p>
        </w:tc>
      </w:tr>
      <w:tr w:rsidR="009B4AB3" w:rsidRPr="009B4AB3" w:rsidTr="009B4AB3">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Bond’s Name</w:t>
            </w:r>
          </w:p>
        </w:tc>
        <w:tc>
          <w:tcPr>
            <w:tcW w:w="19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Current market price</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Volume</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Total value</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Z Energy Ltd (ZEL020)</w:t>
            </w:r>
          </w:p>
        </w:tc>
        <w:tc>
          <w:tcPr>
            <w:tcW w:w="19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$108.97 </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9,186</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$1,000,998.42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Vector Ltd (VCT070)</w:t>
            </w:r>
          </w:p>
        </w:tc>
        <w:tc>
          <w:tcPr>
            <w:tcW w:w="19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$105.73 </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9,463</w:t>
            </w:r>
          </w:p>
        </w:tc>
        <w:tc>
          <w:tcPr>
            <w:tcW w:w="1680" w:type="dxa"/>
            <w:tcBorders>
              <w:top w:val="nil"/>
              <w:left w:val="nil"/>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$1,000,522.99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 No. of Units </w:t>
            </w:r>
          </w:p>
        </w:tc>
        <w:tc>
          <w:tcPr>
            <w:tcW w:w="198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2,190,875.00</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No. of  Units investor Hold</w:t>
            </w:r>
          </w:p>
        </w:tc>
        <w:tc>
          <w:tcPr>
            <w:tcW w:w="198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438175</w:t>
            </w:r>
          </w:p>
        </w:tc>
        <w:tc>
          <w:tcPr>
            <w:tcW w:w="168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 Total Value </w:t>
            </w:r>
          </w:p>
        </w:tc>
        <w:tc>
          <w:tcPr>
            <w:tcW w:w="198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$9,297,830.22 </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 Cash </w:t>
            </w:r>
          </w:p>
        </w:tc>
        <w:tc>
          <w:tcPr>
            <w:tcW w:w="198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5C4F7B">
            <w:pPr>
              <w:spacing w:after="0" w:line="240" w:lineRule="auto"/>
              <w:ind w:right="480"/>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$500,000 </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 Total Fund Value </w:t>
            </w:r>
          </w:p>
        </w:tc>
        <w:tc>
          <w:tcPr>
            <w:tcW w:w="198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$9,797,830 </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Total Fund Value investor hold</w:t>
            </w:r>
          </w:p>
        </w:tc>
        <w:tc>
          <w:tcPr>
            <w:tcW w:w="198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$1,959,566 </w:t>
            </w:r>
          </w:p>
        </w:tc>
        <w:tc>
          <w:tcPr>
            <w:tcW w:w="168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w:t>
            </w:r>
          </w:p>
        </w:tc>
      </w:tr>
      <w:tr w:rsidR="009B4AB3" w:rsidRPr="009B4AB3" w:rsidTr="009B4AB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 NAV </w:t>
            </w:r>
          </w:p>
        </w:tc>
        <w:tc>
          <w:tcPr>
            <w:tcW w:w="1980" w:type="dxa"/>
            <w:tcBorders>
              <w:top w:val="nil"/>
              <w:left w:val="nil"/>
              <w:bottom w:val="single" w:sz="4" w:space="0" w:color="auto"/>
              <w:right w:val="single" w:sz="4" w:space="0" w:color="auto"/>
            </w:tcBorders>
            <w:shd w:val="clear" w:color="auto" w:fill="auto"/>
            <w:noWrap/>
            <w:vAlign w:val="center"/>
            <w:hideMark/>
          </w:tcPr>
          <w:p w:rsidR="009B4AB3" w:rsidRPr="009B4AB3" w:rsidRDefault="009B4AB3" w:rsidP="009B4AB3">
            <w:pPr>
              <w:spacing w:after="0" w:line="240" w:lineRule="auto"/>
              <w:jc w:val="both"/>
              <w:rPr>
                <w:rFonts w:ascii="Times New Roman" w:eastAsia="Times New Roman" w:hAnsi="Times New Roman" w:cs="Times New Roman"/>
                <w:color w:val="000000"/>
                <w:sz w:val="24"/>
                <w:szCs w:val="24"/>
              </w:rPr>
            </w:pPr>
            <w:r w:rsidRPr="009B4AB3">
              <w:rPr>
                <w:rFonts w:ascii="Times New Roman" w:eastAsia="Times New Roman" w:hAnsi="Times New Roman" w:cs="Times New Roman"/>
                <w:color w:val="000000"/>
                <w:sz w:val="24"/>
                <w:szCs w:val="24"/>
              </w:rPr>
              <w:t xml:space="preserve">$4.47 </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9B4AB3" w:rsidRPr="009B4AB3" w:rsidRDefault="009B4AB3" w:rsidP="009B4AB3">
            <w:pPr>
              <w:spacing w:after="0" w:line="240" w:lineRule="auto"/>
              <w:rPr>
                <w:rFonts w:ascii="Calibri" w:eastAsia="Times New Roman" w:hAnsi="Calibri" w:cs="Calibri"/>
                <w:color w:val="000000"/>
              </w:rPr>
            </w:pPr>
            <w:r w:rsidRPr="009B4AB3">
              <w:rPr>
                <w:rFonts w:ascii="Calibri" w:eastAsia="Times New Roman" w:hAnsi="Calibri" w:cs="Calibri"/>
                <w:color w:val="000000"/>
              </w:rPr>
              <w:t> </w:t>
            </w:r>
          </w:p>
        </w:tc>
      </w:tr>
    </w:tbl>
    <w:p w:rsidR="00481590" w:rsidRPr="00481590" w:rsidRDefault="00481590" w:rsidP="00481590">
      <w:pPr>
        <w:jc w:val="both"/>
        <w:rPr>
          <w:rFonts w:ascii="Times New Roman" w:hAnsi="Times New Roman" w:cs="Times New Roman"/>
          <w:sz w:val="24"/>
          <w:szCs w:val="24"/>
        </w:rPr>
      </w:pPr>
    </w:p>
    <w:p w:rsidR="00481590" w:rsidRPr="00481590" w:rsidRDefault="00481590" w:rsidP="00642CE4">
      <w:pPr>
        <w:jc w:val="both"/>
        <w:rPr>
          <w:rFonts w:ascii="Times New Roman" w:hAnsi="Times New Roman" w:cs="Times New Roman"/>
          <w:sz w:val="24"/>
          <w:szCs w:val="24"/>
        </w:rPr>
      </w:pPr>
      <w:r w:rsidRPr="00481590">
        <w:rPr>
          <w:rFonts w:ascii="Times New Roman" w:hAnsi="Times New Roman" w:cs="Times New Roman"/>
          <w:sz w:val="24"/>
          <w:szCs w:val="24"/>
        </w:rPr>
        <w:t xml:space="preserve">The analysis clearly shows that NAV </w:t>
      </w:r>
      <w:r w:rsidR="00675BA7">
        <w:rPr>
          <w:rFonts w:ascii="Times New Roman" w:hAnsi="Times New Roman" w:cs="Times New Roman"/>
          <w:sz w:val="24"/>
          <w:szCs w:val="24"/>
        </w:rPr>
        <w:t xml:space="preserve">increases from 4.34 to 4.47 as per current rate despite uncertain present financial conditions. It means our portfolio is able to beat the market and it is because of this reason we want to add additional 2500000 into </w:t>
      </w:r>
      <w:r w:rsidR="00A72407">
        <w:rPr>
          <w:rFonts w:ascii="Times New Roman" w:hAnsi="Times New Roman" w:cs="Times New Roman"/>
          <w:sz w:val="24"/>
          <w:szCs w:val="24"/>
        </w:rPr>
        <w:t>three new stocks.</w:t>
      </w:r>
    </w:p>
    <w:tbl>
      <w:tblPr>
        <w:tblW w:w="8700" w:type="dxa"/>
        <w:tblInd w:w="93" w:type="dxa"/>
        <w:tblLook w:val="04A0" w:firstRow="1" w:lastRow="0" w:firstColumn="1" w:lastColumn="0" w:noHBand="0" w:noVBand="1"/>
      </w:tblPr>
      <w:tblGrid>
        <w:gridCol w:w="3360"/>
        <w:gridCol w:w="1980"/>
        <w:gridCol w:w="1680"/>
        <w:gridCol w:w="1680"/>
      </w:tblGrid>
      <w:tr w:rsidR="00675BA7" w:rsidRPr="00675BA7" w:rsidTr="00675BA7">
        <w:trPr>
          <w:trHeight w:val="630"/>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b/>
                <w:bCs/>
                <w:color w:val="000000"/>
                <w:sz w:val="24"/>
                <w:szCs w:val="24"/>
              </w:rPr>
            </w:pPr>
            <w:r w:rsidRPr="00675BA7">
              <w:rPr>
                <w:rFonts w:ascii="Times New Roman" w:eastAsia="Times New Roman" w:hAnsi="Times New Roman" w:cs="Times New Roman"/>
                <w:b/>
                <w:bCs/>
                <w:color w:val="000000"/>
                <w:sz w:val="24"/>
                <w:szCs w:val="24"/>
              </w:rPr>
              <w:t xml:space="preserve">Stock’s Name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rPr>
                <w:rFonts w:ascii="Times New Roman" w:eastAsia="Times New Roman" w:hAnsi="Times New Roman" w:cs="Times New Roman"/>
                <w:b/>
                <w:bCs/>
                <w:color w:val="000000"/>
                <w:sz w:val="24"/>
                <w:szCs w:val="24"/>
              </w:rPr>
            </w:pPr>
            <w:r w:rsidRPr="00675BA7">
              <w:rPr>
                <w:rFonts w:ascii="Times New Roman" w:eastAsia="Times New Roman" w:hAnsi="Times New Roman" w:cs="Times New Roman"/>
                <w:b/>
                <w:bCs/>
                <w:color w:val="000000"/>
                <w:sz w:val="24"/>
                <w:szCs w:val="24"/>
              </w:rPr>
              <w:t xml:space="preserve"> Prior Market Price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75BA7" w:rsidRPr="00675BA7" w:rsidRDefault="00675BA7" w:rsidP="00675BA7">
            <w:pPr>
              <w:spacing w:after="0" w:line="240" w:lineRule="auto"/>
              <w:rPr>
                <w:rFonts w:ascii="Arial" w:eastAsia="Times New Roman" w:hAnsi="Arial" w:cs="Arial"/>
                <w:b/>
                <w:bCs/>
                <w:color w:val="000000"/>
                <w:sz w:val="20"/>
                <w:szCs w:val="20"/>
              </w:rPr>
            </w:pPr>
            <w:r w:rsidRPr="00675BA7">
              <w:rPr>
                <w:rFonts w:ascii="Arial" w:eastAsia="Times New Roman" w:hAnsi="Arial" w:cs="Arial"/>
                <w:b/>
                <w:bCs/>
                <w:color w:val="000000"/>
                <w:sz w:val="20"/>
                <w:szCs w:val="20"/>
              </w:rPr>
              <w:t>Current Market Price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75BA7" w:rsidRPr="00675BA7" w:rsidRDefault="00675BA7" w:rsidP="00675BA7">
            <w:pPr>
              <w:spacing w:after="0" w:line="240" w:lineRule="auto"/>
              <w:rPr>
                <w:rFonts w:ascii="Arial" w:eastAsia="Times New Roman" w:hAnsi="Arial" w:cs="Arial"/>
                <w:b/>
                <w:bCs/>
                <w:color w:val="000000"/>
                <w:sz w:val="20"/>
                <w:szCs w:val="20"/>
              </w:rPr>
            </w:pPr>
            <w:r w:rsidRPr="00675BA7">
              <w:rPr>
                <w:rFonts w:ascii="Arial" w:eastAsia="Times New Roman" w:hAnsi="Arial" w:cs="Arial"/>
                <w:b/>
                <w:bCs/>
                <w:color w:val="000000"/>
                <w:sz w:val="20"/>
                <w:szCs w:val="20"/>
              </w:rPr>
              <w:t>Gain /Loss</w:t>
            </w:r>
          </w:p>
        </w:tc>
      </w:tr>
      <w:tr w:rsidR="00675BA7" w:rsidRPr="00675BA7" w:rsidTr="00675BA7">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Delegat Group Ltd (DGL)</w:t>
            </w:r>
          </w:p>
        </w:tc>
        <w:tc>
          <w:tcPr>
            <w:tcW w:w="19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$5.30 </w:t>
            </w:r>
          </w:p>
        </w:tc>
        <w:tc>
          <w:tcPr>
            <w:tcW w:w="16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$5.30 </w:t>
            </w:r>
          </w:p>
        </w:tc>
        <w:tc>
          <w:tcPr>
            <w:tcW w:w="1680" w:type="dxa"/>
            <w:tcBorders>
              <w:top w:val="nil"/>
              <w:left w:val="nil"/>
              <w:bottom w:val="single" w:sz="4" w:space="0" w:color="auto"/>
              <w:right w:val="single" w:sz="4" w:space="0" w:color="auto"/>
            </w:tcBorders>
            <w:shd w:val="clear" w:color="auto" w:fill="auto"/>
            <w:noWrap/>
            <w:vAlign w:val="bottom"/>
            <w:hideMark/>
          </w:tcPr>
          <w:p w:rsidR="00675BA7" w:rsidRPr="00675BA7" w:rsidRDefault="00675BA7" w:rsidP="00675BA7">
            <w:pPr>
              <w:spacing w:after="0" w:line="240" w:lineRule="auto"/>
              <w:jc w:val="right"/>
              <w:rPr>
                <w:rFonts w:ascii="Arial" w:eastAsia="Times New Roman" w:hAnsi="Arial" w:cs="Arial"/>
                <w:color w:val="000000"/>
                <w:sz w:val="20"/>
                <w:szCs w:val="20"/>
              </w:rPr>
            </w:pPr>
            <w:r w:rsidRPr="00675BA7">
              <w:rPr>
                <w:rFonts w:ascii="Arial" w:eastAsia="Times New Roman" w:hAnsi="Arial" w:cs="Arial"/>
                <w:color w:val="000000"/>
                <w:sz w:val="20"/>
                <w:szCs w:val="20"/>
              </w:rPr>
              <w:t>0.0%</w:t>
            </w:r>
          </w:p>
        </w:tc>
      </w:tr>
      <w:tr w:rsidR="00675BA7" w:rsidRPr="00675BA7" w:rsidTr="0032205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Ebos Group Ltd (EBO)</w:t>
            </w:r>
          </w:p>
        </w:tc>
        <w:tc>
          <w:tcPr>
            <w:tcW w:w="19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$10.84 </w:t>
            </w:r>
          </w:p>
        </w:tc>
        <w:tc>
          <w:tcPr>
            <w:tcW w:w="16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$11.41 </w:t>
            </w:r>
          </w:p>
        </w:tc>
        <w:tc>
          <w:tcPr>
            <w:tcW w:w="1680" w:type="dxa"/>
            <w:tcBorders>
              <w:top w:val="nil"/>
              <w:left w:val="nil"/>
              <w:bottom w:val="single" w:sz="4" w:space="0" w:color="auto"/>
              <w:right w:val="single" w:sz="4" w:space="0" w:color="auto"/>
            </w:tcBorders>
            <w:shd w:val="clear" w:color="auto" w:fill="FFFFFF" w:themeFill="background1"/>
            <w:noWrap/>
            <w:vAlign w:val="bottom"/>
            <w:hideMark/>
          </w:tcPr>
          <w:p w:rsidR="00675BA7" w:rsidRPr="00675BA7" w:rsidRDefault="00675BA7" w:rsidP="00675BA7">
            <w:pPr>
              <w:spacing w:after="0" w:line="240" w:lineRule="auto"/>
              <w:jc w:val="right"/>
              <w:rPr>
                <w:rFonts w:ascii="Arial" w:eastAsia="Times New Roman" w:hAnsi="Arial" w:cs="Arial"/>
                <w:color w:val="000000"/>
                <w:sz w:val="20"/>
                <w:szCs w:val="20"/>
              </w:rPr>
            </w:pPr>
            <w:r w:rsidRPr="00675BA7">
              <w:rPr>
                <w:rFonts w:ascii="Arial" w:eastAsia="Times New Roman" w:hAnsi="Arial" w:cs="Arial"/>
                <w:color w:val="000000"/>
                <w:sz w:val="20"/>
                <w:szCs w:val="20"/>
              </w:rPr>
              <w:t>5.3%</w:t>
            </w:r>
          </w:p>
        </w:tc>
      </w:tr>
      <w:tr w:rsidR="00675BA7" w:rsidRPr="00675BA7" w:rsidTr="00675BA7">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Fletcher Building Ltd (FBU)</w:t>
            </w:r>
          </w:p>
        </w:tc>
        <w:tc>
          <w:tcPr>
            <w:tcW w:w="19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$7.25 </w:t>
            </w:r>
          </w:p>
        </w:tc>
        <w:tc>
          <w:tcPr>
            <w:tcW w:w="16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$7.26 </w:t>
            </w:r>
          </w:p>
        </w:tc>
        <w:tc>
          <w:tcPr>
            <w:tcW w:w="1680" w:type="dxa"/>
            <w:tcBorders>
              <w:top w:val="nil"/>
              <w:left w:val="nil"/>
              <w:bottom w:val="single" w:sz="4" w:space="0" w:color="auto"/>
              <w:right w:val="single" w:sz="4" w:space="0" w:color="auto"/>
            </w:tcBorders>
            <w:shd w:val="clear" w:color="auto" w:fill="auto"/>
            <w:noWrap/>
            <w:vAlign w:val="bottom"/>
            <w:hideMark/>
          </w:tcPr>
          <w:p w:rsidR="00675BA7" w:rsidRPr="00675BA7" w:rsidRDefault="00675BA7" w:rsidP="00675BA7">
            <w:pPr>
              <w:spacing w:after="0" w:line="240" w:lineRule="auto"/>
              <w:jc w:val="right"/>
              <w:rPr>
                <w:rFonts w:ascii="Arial" w:eastAsia="Times New Roman" w:hAnsi="Arial" w:cs="Arial"/>
                <w:color w:val="000000"/>
                <w:sz w:val="20"/>
                <w:szCs w:val="20"/>
              </w:rPr>
            </w:pPr>
            <w:r w:rsidRPr="00675BA7">
              <w:rPr>
                <w:rFonts w:ascii="Arial" w:eastAsia="Times New Roman" w:hAnsi="Arial" w:cs="Arial"/>
                <w:color w:val="000000"/>
                <w:sz w:val="20"/>
                <w:szCs w:val="20"/>
              </w:rPr>
              <w:t>0.1%</w:t>
            </w:r>
          </w:p>
        </w:tc>
      </w:tr>
      <w:tr w:rsidR="00675BA7" w:rsidRPr="00675BA7" w:rsidTr="00675BA7">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Kiwi Property Group Ltd (KPG)</w:t>
            </w:r>
          </w:p>
        </w:tc>
        <w:tc>
          <w:tcPr>
            <w:tcW w:w="19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$1.34 </w:t>
            </w:r>
          </w:p>
        </w:tc>
        <w:tc>
          <w:tcPr>
            <w:tcW w:w="16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$1.29 </w:t>
            </w:r>
          </w:p>
        </w:tc>
        <w:tc>
          <w:tcPr>
            <w:tcW w:w="1680" w:type="dxa"/>
            <w:tcBorders>
              <w:top w:val="nil"/>
              <w:left w:val="nil"/>
              <w:bottom w:val="single" w:sz="4" w:space="0" w:color="auto"/>
              <w:right w:val="single" w:sz="4" w:space="0" w:color="auto"/>
            </w:tcBorders>
            <w:shd w:val="clear" w:color="auto" w:fill="auto"/>
            <w:noWrap/>
            <w:vAlign w:val="bottom"/>
            <w:hideMark/>
          </w:tcPr>
          <w:p w:rsidR="00675BA7" w:rsidRPr="00675BA7" w:rsidRDefault="00675BA7" w:rsidP="00675BA7">
            <w:pPr>
              <w:spacing w:after="0" w:line="240" w:lineRule="auto"/>
              <w:jc w:val="right"/>
              <w:rPr>
                <w:rFonts w:ascii="Arial" w:eastAsia="Times New Roman" w:hAnsi="Arial" w:cs="Arial"/>
                <w:color w:val="000000"/>
                <w:sz w:val="20"/>
                <w:szCs w:val="20"/>
              </w:rPr>
            </w:pPr>
            <w:r w:rsidRPr="00675BA7">
              <w:rPr>
                <w:rFonts w:ascii="Arial" w:eastAsia="Times New Roman" w:hAnsi="Arial" w:cs="Arial"/>
                <w:color w:val="000000"/>
                <w:sz w:val="20"/>
                <w:szCs w:val="20"/>
              </w:rPr>
              <w:t>-3.7%</w:t>
            </w:r>
          </w:p>
        </w:tc>
      </w:tr>
      <w:tr w:rsidR="00675BA7" w:rsidRPr="00675BA7" w:rsidTr="00322053">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Hellaby Holding Ltd (HBY)</w:t>
            </w:r>
          </w:p>
        </w:tc>
        <w:tc>
          <w:tcPr>
            <w:tcW w:w="19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$2.88 </w:t>
            </w:r>
          </w:p>
        </w:tc>
        <w:tc>
          <w:tcPr>
            <w:tcW w:w="16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$2.91 </w:t>
            </w:r>
          </w:p>
        </w:tc>
        <w:tc>
          <w:tcPr>
            <w:tcW w:w="1680" w:type="dxa"/>
            <w:tcBorders>
              <w:top w:val="nil"/>
              <w:left w:val="nil"/>
              <w:bottom w:val="single" w:sz="4" w:space="0" w:color="auto"/>
              <w:right w:val="single" w:sz="4" w:space="0" w:color="auto"/>
            </w:tcBorders>
            <w:shd w:val="clear" w:color="auto" w:fill="FFFFFF" w:themeFill="background1"/>
            <w:noWrap/>
            <w:vAlign w:val="bottom"/>
            <w:hideMark/>
          </w:tcPr>
          <w:p w:rsidR="00675BA7" w:rsidRPr="00675BA7" w:rsidRDefault="00675BA7" w:rsidP="00675BA7">
            <w:pPr>
              <w:spacing w:after="0" w:line="240" w:lineRule="auto"/>
              <w:jc w:val="right"/>
              <w:rPr>
                <w:rFonts w:ascii="Arial" w:eastAsia="Times New Roman" w:hAnsi="Arial" w:cs="Arial"/>
                <w:color w:val="000000"/>
                <w:sz w:val="20"/>
                <w:szCs w:val="20"/>
              </w:rPr>
            </w:pPr>
            <w:r w:rsidRPr="00675BA7">
              <w:rPr>
                <w:rFonts w:ascii="Arial" w:eastAsia="Times New Roman" w:hAnsi="Arial" w:cs="Arial"/>
                <w:color w:val="000000"/>
                <w:sz w:val="20"/>
                <w:szCs w:val="20"/>
              </w:rPr>
              <w:t>1.0%</w:t>
            </w:r>
          </w:p>
        </w:tc>
      </w:tr>
      <w:tr w:rsidR="00675BA7" w:rsidRPr="00675BA7" w:rsidTr="00675BA7">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Infratil Ltd (IFT)</w:t>
            </w:r>
          </w:p>
        </w:tc>
        <w:tc>
          <w:tcPr>
            <w:tcW w:w="19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$3.03 </w:t>
            </w:r>
          </w:p>
        </w:tc>
        <w:tc>
          <w:tcPr>
            <w:tcW w:w="1680" w:type="dxa"/>
            <w:tcBorders>
              <w:top w:val="nil"/>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$3.05 </w:t>
            </w:r>
          </w:p>
        </w:tc>
        <w:tc>
          <w:tcPr>
            <w:tcW w:w="1680" w:type="dxa"/>
            <w:tcBorders>
              <w:top w:val="nil"/>
              <w:left w:val="nil"/>
              <w:bottom w:val="single" w:sz="4" w:space="0" w:color="auto"/>
              <w:right w:val="single" w:sz="4" w:space="0" w:color="auto"/>
            </w:tcBorders>
            <w:shd w:val="clear" w:color="auto" w:fill="auto"/>
            <w:noWrap/>
            <w:vAlign w:val="bottom"/>
            <w:hideMark/>
          </w:tcPr>
          <w:p w:rsidR="00675BA7" w:rsidRPr="00675BA7" w:rsidRDefault="00675BA7" w:rsidP="00675BA7">
            <w:pPr>
              <w:spacing w:after="0" w:line="240" w:lineRule="auto"/>
              <w:jc w:val="right"/>
              <w:rPr>
                <w:rFonts w:ascii="Arial" w:eastAsia="Times New Roman" w:hAnsi="Arial" w:cs="Arial"/>
                <w:color w:val="000000"/>
                <w:sz w:val="20"/>
                <w:szCs w:val="20"/>
              </w:rPr>
            </w:pPr>
            <w:r w:rsidRPr="00675BA7">
              <w:rPr>
                <w:rFonts w:ascii="Arial" w:eastAsia="Times New Roman" w:hAnsi="Arial" w:cs="Arial"/>
                <w:color w:val="000000"/>
                <w:sz w:val="20"/>
                <w:szCs w:val="20"/>
              </w:rPr>
              <w:t>0.7%</w:t>
            </w:r>
          </w:p>
        </w:tc>
      </w:tr>
      <w:tr w:rsidR="00675BA7" w:rsidRPr="00675BA7" w:rsidTr="00322053">
        <w:trPr>
          <w:trHeight w:val="315"/>
        </w:trPr>
        <w:tc>
          <w:tcPr>
            <w:tcW w:w="3360" w:type="dxa"/>
            <w:tcBorders>
              <w:top w:val="nil"/>
              <w:left w:val="single" w:sz="4" w:space="0" w:color="auto"/>
              <w:bottom w:val="nil"/>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Genesis Energy Ltd (GNE)</w:t>
            </w:r>
          </w:p>
        </w:tc>
        <w:tc>
          <w:tcPr>
            <w:tcW w:w="1980" w:type="dxa"/>
            <w:tcBorders>
              <w:top w:val="nil"/>
              <w:left w:val="nil"/>
              <w:bottom w:val="nil"/>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$1.82 </w:t>
            </w:r>
          </w:p>
        </w:tc>
        <w:tc>
          <w:tcPr>
            <w:tcW w:w="1680" w:type="dxa"/>
            <w:tcBorders>
              <w:top w:val="nil"/>
              <w:left w:val="nil"/>
              <w:bottom w:val="nil"/>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$1.93 </w:t>
            </w:r>
          </w:p>
        </w:tc>
        <w:tc>
          <w:tcPr>
            <w:tcW w:w="1680" w:type="dxa"/>
            <w:tcBorders>
              <w:top w:val="nil"/>
              <w:left w:val="nil"/>
              <w:bottom w:val="nil"/>
              <w:right w:val="single" w:sz="4" w:space="0" w:color="auto"/>
            </w:tcBorders>
            <w:shd w:val="clear" w:color="auto" w:fill="FFFFFF" w:themeFill="background1"/>
            <w:noWrap/>
            <w:vAlign w:val="bottom"/>
            <w:hideMark/>
          </w:tcPr>
          <w:p w:rsidR="00675BA7" w:rsidRPr="00675BA7" w:rsidRDefault="00675BA7" w:rsidP="00675BA7">
            <w:pPr>
              <w:spacing w:after="0" w:line="240" w:lineRule="auto"/>
              <w:jc w:val="right"/>
              <w:rPr>
                <w:rFonts w:ascii="Arial" w:eastAsia="Times New Roman" w:hAnsi="Arial" w:cs="Arial"/>
                <w:color w:val="000000"/>
                <w:sz w:val="20"/>
                <w:szCs w:val="20"/>
              </w:rPr>
            </w:pPr>
            <w:r w:rsidRPr="00675BA7">
              <w:rPr>
                <w:rFonts w:ascii="Arial" w:eastAsia="Times New Roman" w:hAnsi="Arial" w:cs="Arial"/>
                <w:color w:val="000000"/>
                <w:sz w:val="20"/>
                <w:szCs w:val="20"/>
              </w:rPr>
              <w:t>6.0%</w:t>
            </w:r>
          </w:p>
        </w:tc>
      </w:tr>
      <w:tr w:rsidR="001E7050" w:rsidRPr="00675BA7" w:rsidTr="00322053">
        <w:trPr>
          <w:trHeight w:val="315"/>
        </w:trPr>
        <w:tc>
          <w:tcPr>
            <w:tcW w:w="3360" w:type="dxa"/>
            <w:tcBorders>
              <w:top w:val="nil"/>
              <w:left w:val="single" w:sz="4" w:space="0" w:color="auto"/>
              <w:bottom w:val="single" w:sz="4" w:space="0" w:color="auto"/>
              <w:right w:val="single" w:sz="4" w:space="0" w:color="auto"/>
            </w:tcBorders>
            <w:shd w:val="clear" w:color="auto" w:fill="F79646" w:themeFill="accent6"/>
            <w:vAlign w:val="center"/>
          </w:tcPr>
          <w:p w:rsidR="001E7050" w:rsidRPr="00675BA7" w:rsidRDefault="001E7050" w:rsidP="001E7050">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ANZ Bank (ANZ)</w:t>
            </w:r>
          </w:p>
        </w:tc>
        <w:tc>
          <w:tcPr>
            <w:tcW w:w="1980" w:type="dxa"/>
            <w:tcBorders>
              <w:top w:val="nil"/>
              <w:left w:val="nil"/>
              <w:bottom w:val="single" w:sz="4" w:space="0" w:color="auto"/>
              <w:right w:val="single" w:sz="4" w:space="0" w:color="auto"/>
            </w:tcBorders>
            <w:shd w:val="clear" w:color="auto" w:fill="F79646" w:themeFill="accent6"/>
            <w:vAlign w:val="center"/>
          </w:tcPr>
          <w:p w:rsidR="001E7050" w:rsidRPr="00675BA7" w:rsidRDefault="001E7050" w:rsidP="001E7050">
            <w:pPr>
              <w:spacing w:after="0" w:line="240" w:lineRule="auto"/>
              <w:jc w:val="both"/>
              <w:rPr>
                <w:rFonts w:ascii="Times New Roman" w:eastAsia="Times New Roman" w:hAnsi="Times New Roman" w:cs="Times New Roman"/>
                <w:color w:val="000000"/>
                <w:sz w:val="24"/>
                <w:szCs w:val="24"/>
              </w:rPr>
            </w:pPr>
          </w:p>
        </w:tc>
        <w:tc>
          <w:tcPr>
            <w:tcW w:w="1680" w:type="dxa"/>
            <w:tcBorders>
              <w:top w:val="nil"/>
              <w:left w:val="nil"/>
              <w:bottom w:val="single" w:sz="4" w:space="0" w:color="auto"/>
              <w:right w:val="single" w:sz="4" w:space="0" w:color="auto"/>
            </w:tcBorders>
            <w:shd w:val="clear" w:color="auto" w:fill="F79646" w:themeFill="accent6"/>
            <w:vAlign w:val="center"/>
          </w:tcPr>
          <w:p w:rsidR="001E7050" w:rsidRPr="00675BA7" w:rsidRDefault="001E7050" w:rsidP="001E7050">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$31.63</w:t>
            </w:r>
          </w:p>
        </w:tc>
        <w:tc>
          <w:tcPr>
            <w:tcW w:w="1680" w:type="dxa"/>
            <w:tcBorders>
              <w:top w:val="nil"/>
              <w:left w:val="nil"/>
              <w:bottom w:val="single" w:sz="4" w:space="0" w:color="auto"/>
              <w:right w:val="single" w:sz="4" w:space="0" w:color="auto"/>
            </w:tcBorders>
            <w:shd w:val="clear" w:color="auto" w:fill="F79646" w:themeFill="accent6"/>
            <w:noWrap/>
            <w:vAlign w:val="bottom"/>
          </w:tcPr>
          <w:p w:rsidR="001E7050" w:rsidRPr="00675BA7" w:rsidRDefault="001E7050" w:rsidP="001E7050">
            <w:pPr>
              <w:spacing w:after="0" w:line="240" w:lineRule="auto"/>
              <w:jc w:val="right"/>
              <w:rPr>
                <w:rFonts w:ascii="Arial" w:eastAsia="Times New Roman" w:hAnsi="Arial" w:cs="Arial"/>
                <w:color w:val="000000"/>
                <w:sz w:val="20"/>
                <w:szCs w:val="20"/>
              </w:rPr>
            </w:pPr>
          </w:p>
        </w:tc>
      </w:tr>
      <w:tr w:rsidR="001E7050" w:rsidRPr="00675BA7" w:rsidTr="00322053">
        <w:trPr>
          <w:trHeight w:val="315"/>
        </w:trPr>
        <w:tc>
          <w:tcPr>
            <w:tcW w:w="3360" w:type="dxa"/>
            <w:tcBorders>
              <w:top w:val="nil"/>
              <w:left w:val="single" w:sz="4" w:space="0" w:color="auto"/>
              <w:bottom w:val="single" w:sz="4" w:space="0" w:color="auto"/>
              <w:right w:val="single" w:sz="4" w:space="0" w:color="auto"/>
            </w:tcBorders>
            <w:shd w:val="clear" w:color="auto" w:fill="F79646" w:themeFill="accent6"/>
            <w:vAlign w:val="center"/>
          </w:tcPr>
          <w:p w:rsidR="001E7050" w:rsidRPr="00675BA7" w:rsidRDefault="001E7050" w:rsidP="001E7050">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T</w:t>
            </w:r>
            <w:r>
              <w:rPr>
                <w:rFonts w:ascii="Times New Roman" w:hAnsi="Times New Roman" w:cs="Times New Roman"/>
                <w:sz w:val="24"/>
                <w:szCs w:val="24"/>
              </w:rPr>
              <w:t>he warehouse (WHS)</w:t>
            </w:r>
          </w:p>
        </w:tc>
        <w:tc>
          <w:tcPr>
            <w:tcW w:w="1980" w:type="dxa"/>
            <w:tcBorders>
              <w:top w:val="nil"/>
              <w:left w:val="nil"/>
              <w:bottom w:val="single" w:sz="4" w:space="0" w:color="auto"/>
              <w:right w:val="single" w:sz="4" w:space="0" w:color="auto"/>
            </w:tcBorders>
            <w:shd w:val="clear" w:color="auto" w:fill="F79646" w:themeFill="accent6"/>
            <w:vAlign w:val="center"/>
          </w:tcPr>
          <w:p w:rsidR="001E7050" w:rsidRPr="00675BA7" w:rsidRDefault="001E7050" w:rsidP="001E7050">
            <w:pPr>
              <w:spacing w:after="0" w:line="240" w:lineRule="auto"/>
              <w:jc w:val="both"/>
              <w:rPr>
                <w:rFonts w:ascii="Times New Roman" w:eastAsia="Times New Roman" w:hAnsi="Times New Roman" w:cs="Times New Roman"/>
                <w:color w:val="000000"/>
                <w:sz w:val="24"/>
                <w:szCs w:val="24"/>
              </w:rPr>
            </w:pPr>
          </w:p>
        </w:tc>
        <w:tc>
          <w:tcPr>
            <w:tcW w:w="1680" w:type="dxa"/>
            <w:tcBorders>
              <w:top w:val="nil"/>
              <w:left w:val="nil"/>
              <w:bottom w:val="single" w:sz="4" w:space="0" w:color="auto"/>
              <w:right w:val="single" w:sz="4" w:space="0" w:color="auto"/>
            </w:tcBorders>
            <w:shd w:val="clear" w:color="auto" w:fill="F79646" w:themeFill="accent6"/>
            <w:vAlign w:val="center"/>
          </w:tcPr>
          <w:p w:rsidR="001E7050" w:rsidRPr="00675BA7" w:rsidRDefault="001E7050" w:rsidP="001E7050">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$2.59</w:t>
            </w:r>
          </w:p>
        </w:tc>
        <w:tc>
          <w:tcPr>
            <w:tcW w:w="1680" w:type="dxa"/>
            <w:tcBorders>
              <w:top w:val="nil"/>
              <w:left w:val="nil"/>
              <w:bottom w:val="single" w:sz="4" w:space="0" w:color="auto"/>
              <w:right w:val="single" w:sz="4" w:space="0" w:color="auto"/>
            </w:tcBorders>
            <w:shd w:val="clear" w:color="auto" w:fill="F79646" w:themeFill="accent6"/>
            <w:noWrap/>
            <w:vAlign w:val="bottom"/>
          </w:tcPr>
          <w:p w:rsidR="001E7050" w:rsidRPr="00675BA7" w:rsidRDefault="001E7050" w:rsidP="001E7050">
            <w:pPr>
              <w:spacing w:after="0" w:line="240" w:lineRule="auto"/>
              <w:jc w:val="right"/>
              <w:rPr>
                <w:rFonts w:ascii="Arial" w:eastAsia="Times New Roman" w:hAnsi="Arial" w:cs="Arial"/>
                <w:color w:val="000000"/>
                <w:sz w:val="20"/>
                <w:szCs w:val="20"/>
              </w:rPr>
            </w:pPr>
          </w:p>
        </w:tc>
      </w:tr>
      <w:tr w:rsidR="001E7050" w:rsidRPr="00675BA7" w:rsidTr="00322053">
        <w:trPr>
          <w:trHeight w:val="315"/>
        </w:trPr>
        <w:tc>
          <w:tcPr>
            <w:tcW w:w="3360" w:type="dxa"/>
            <w:tcBorders>
              <w:top w:val="nil"/>
              <w:left w:val="single" w:sz="4" w:space="0" w:color="auto"/>
              <w:bottom w:val="single" w:sz="4" w:space="0" w:color="auto"/>
              <w:right w:val="single" w:sz="4" w:space="0" w:color="auto"/>
            </w:tcBorders>
            <w:shd w:val="clear" w:color="auto" w:fill="F79646" w:themeFill="accent6"/>
            <w:vAlign w:val="center"/>
          </w:tcPr>
          <w:p w:rsidR="001E7050" w:rsidRPr="00675BA7" w:rsidRDefault="001E7050" w:rsidP="001E7050">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Mainfreight (MFT)</w:t>
            </w:r>
          </w:p>
        </w:tc>
        <w:tc>
          <w:tcPr>
            <w:tcW w:w="1980" w:type="dxa"/>
            <w:tcBorders>
              <w:top w:val="nil"/>
              <w:left w:val="nil"/>
              <w:bottom w:val="single" w:sz="4" w:space="0" w:color="auto"/>
              <w:right w:val="single" w:sz="4" w:space="0" w:color="auto"/>
            </w:tcBorders>
            <w:shd w:val="clear" w:color="auto" w:fill="F79646" w:themeFill="accent6"/>
            <w:vAlign w:val="center"/>
          </w:tcPr>
          <w:p w:rsidR="001E7050" w:rsidRPr="00675BA7" w:rsidRDefault="001E7050" w:rsidP="001E7050">
            <w:pPr>
              <w:spacing w:after="0" w:line="240" w:lineRule="auto"/>
              <w:jc w:val="both"/>
              <w:rPr>
                <w:rFonts w:ascii="Times New Roman" w:eastAsia="Times New Roman" w:hAnsi="Times New Roman" w:cs="Times New Roman"/>
                <w:color w:val="000000"/>
                <w:sz w:val="24"/>
                <w:szCs w:val="24"/>
              </w:rPr>
            </w:pPr>
          </w:p>
        </w:tc>
        <w:tc>
          <w:tcPr>
            <w:tcW w:w="1680" w:type="dxa"/>
            <w:tcBorders>
              <w:top w:val="nil"/>
              <w:left w:val="nil"/>
              <w:bottom w:val="single" w:sz="4" w:space="0" w:color="auto"/>
              <w:right w:val="single" w:sz="4" w:space="0" w:color="auto"/>
            </w:tcBorders>
            <w:shd w:val="clear" w:color="auto" w:fill="F79646" w:themeFill="accent6"/>
            <w:vAlign w:val="center"/>
          </w:tcPr>
          <w:p w:rsidR="001E7050" w:rsidRPr="00675BA7" w:rsidRDefault="001E7050" w:rsidP="001E7050">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$15.04</w:t>
            </w:r>
          </w:p>
        </w:tc>
        <w:tc>
          <w:tcPr>
            <w:tcW w:w="1680" w:type="dxa"/>
            <w:tcBorders>
              <w:top w:val="nil"/>
              <w:left w:val="nil"/>
              <w:bottom w:val="single" w:sz="4" w:space="0" w:color="auto"/>
              <w:right w:val="single" w:sz="4" w:space="0" w:color="auto"/>
            </w:tcBorders>
            <w:shd w:val="clear" w:color="auto" w:fill="F79646" w:themeFill="accent6"/>
            <w:noWrap/>
            <w:vAlign w:val="bottom"/>
          </w:tcPr>
          <w:p w:rsidR="001E7050" w:rsidRPr="00675BA7" w:rsidRDefault="001E7050" w:rsidP="001E7050">
            <w:pPr>
              <w:spacing w:after="0" w:line="240" w:lineRule="auto"/>
              <w:jc w:val="right"/>
              <w:rPr>
                <w:rFonts w:ascii="Arial" w:eastAsia="Times New Roman" w:hAnsi="Arial" w:cs="Arial"/>
                <w:color w:val="000000"/>
                <w:sz w:val="20"/>
                <w:szCs w:val="20"/>
              </w:rPr>
            </w:pPr>
          </w:p>
        </w:tc>
      </w:tr>
    </w:tbl>
    <w:p w:rsidR="00481590" w:rsidRDefault="00481590" w:rsidP="00481590">
      <w:pPr>
        <w:jc w:val="both"/>
        <w:rPr>
          <w:rFonts w:ascii="Times New Roman" w:hAnsi="Times New Roman" w:cs="Times New Roman"/>
          <w:sz w:val="24"/>
          <w:szCs w:val="24"/>
        </w:rPr>
      </w:pPr>
    </w:p>
    <w:p w:rsidR="00675BA7" w:rsidRDefault="00675BA7" w:rsidP="00A7240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above strategy helps to get more profitability in future despite uncertain market condition. The stocks in which we are going to invest are </w:t>
      </w:r>
      <w:r w:rsidR="00A72407">
        <w:rPr>
          <w:rFonts w:ascii="Times New Roman" w:hAnsi="Times New Roman" w:cs="Times New Roman"/>
          <w:sz w:val="24"/>
          <w:szCs w:val="24"/>
        </w:rPr>
        <w:t xml:space="preserve">ANZ Bank (ANZ.NZ) and the warehouse (WHS.NZ) and Mainfreight (MFT.NZ). At the current stock market, ANZ.NZ’s price is $31.63, WHS.NZ’s price is $2.59 and MFT.NZ’s price is </w:t>
      </w:r>
      <w:r w:rsidR="008A71F1">
        <w:rPr>
          <w:rFonts w:ascii="Times New Roman" w:hAnsi="Times New Roman" w:cs="Times New Roman"/>
          <w:sz w:val="24"/>
          <w:szCs w:val="24"/>
        </w:rPr>
        <w:t xml:space="preserve">$15.04. Those three companies could be seen as the leading companies in their own industries. Buying their stocks could be safer compare with other companies in the same fields. </w:t>
      </w:r>
    </w:p>
    <w:tbl>
      <w:tblPr>
        <w:tblW w:w="5340" w:type="dxa"/>
        <w:tblInd w:w="93" w:type="dxa"/>
        <w:tblLook w:val="04A0" w:firstRow="1" w:lastRow="0" w:firstColumn="1" w:lastColumn="0" w:noHBand="0" w:noVBand="1"/>
      </w:tblPr>
      <w:tblGrid>
        <w:gridCol w:w="3360"/>
        <w:gridCol w:w="1980"/>
      </w:tblGrid>
      <w:tr w:rsidR="00675BA7" w:rsidRPr="00675BA7" w:rsidTr="00675BA7">
        <w:trPr>
          <w:trHeight w:val="315"/>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Amount Invested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jc w:val="both"/>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         2,500,000.00 </w:t>
            </w:r>
          </w:p>
        </w:tc>
      </w:tr>
      <w:tr w:rsidR="00675BA7" w:rsidRPr="00675BA7" w:rsidTr="00675BA7">
        <w:trPr>
          <w:trHeight w:val="31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75BA7" w:rsidRPr="00675BA7" w:rsidRDefault="00675BA7" w:rsidP="00675BA7">
            <w:pPr>
              <w:spacing w:after="0" w:line="240" w:lineRule="auto"/>
              <w:rPr>
                <w:rFonts w:ascii="Times New Roman" w:eastAsia="Times New Roman" w:hAnsi="Times New Roman" w:cs="Times New Roman"/>
                <w:color w:val="000000"/>
                <w:sz w:val="24"/>
                <w:szCs w:val="24"/>
              </w:rPr>
            </w:pPr>
            <w:r w:rsidRPr="00675BA7">
              <w:rPr>
                <w:rFonts w:ascii="Times New Roman" w:eastAsia="Times New Roman" w:hAnsi="Times New Roman" w:cs="Times New Roman"/>
                <w:color w:val="000000"/>
                <w:sz w:val="24"/>
                <w:szCs w:val="24"/>
              </w:rPr>
              <w:t xml:space="preserve"> New unit injected </w:t>
            </w:r>
          </w:p>
        </w:tc>
        <w:tc>
          <w:tcPr>
            <w:tcW w:w="1980" w:type="dxa"/>
            <w:tcBorders>
              <w:top w:val="nil"/>
              <w:left w:val="nil"/>
              <w:bottom w:val="single" w:sz="4" w:space="0" w:color="auto"/>
              <w:right w:val="single" w:sz="4" w:space="0" w:color="auto"/>
            </w:tcBorders>
            <w:shd w:val="clear" w:color="auto" w:fill="auto"/>
            <w:noWrap/>
            <w:vAlign w:val="bottom"/>
            <w:hideMark/>
          </w:tcPr>
          <w:p w:rsidR="00675BA7" w:rsidRPr="00675BA7" w:rsidRDefault="00675BA7" w:rsidP="00675BA7">
            <w:pPr>
              <w:spacing w:after="0" w:line="240" w:lineRule="auto"/>
              <w:rPr>
                <w:rFonts w:ascii="Arial" w:eastAsia="Times New Roman" w:hAnsi="Arial" w:cs="Arial"/>
                <w:color w:val="000000"/>
                <w:sz w:val="20"/>
                <w:szCs w:val="20"/>
              </w:rPr>
            </w:pPr>
            <w:r w:rsidRPr="00675BA7">
              <w:rPr>
                <w:rFonts w:ascii="Arial" w:eastAsia="Times New Roman" w:hAnsi="Arial" w:cs="Arial"/>
                <w:color w:val="000000"/>
                <w:sz w:val="20"/>
                <w:szCs w:val="20"/>
              </w:rPr>
              <w:t xml:space="preserve">              559,020.45 </w:t>
            </w:r>
          </w:p>
        </w:tc>
      </w:tr>
    </w:tbl>
    <w:p w:rsidR="00675BA7" w:rsidRPr="00481590" w:rsidRDefault="00675BA7" w:rsidP="00481590">
      <w:pPr>
        <w:jc w:val="both"/>
        <w:rPr>
          <w:rFonts w:ascii="Times New Roman" w:hAnsi="Times New Roman" w:cs="Times New Roman"/>
          <w:sz w:val="24"/>
          <w:szCs w:val="24"/>
        </w:rPr>
      </w:pPr>
    </w:p>
    <w:sectPr w:rsidR="00675BA7" w:rsidRPr="00481590" w:rsidSect="00675BA7">
      <w:pgSz w:w="12240" w:h="15840"/>
      <w:pgMar w:top="1440" w:right="1440" w:bottom="1440" w:left="1440" w:header="720" w:footer="720"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2"/>
  </w:compat>
  <w:rsids>
    <w:rsidRoot w:val="00E634CD"/>
    <w:rsid w:val="00006885"/>
    <w:rsid w:val="00043213"/>
    <w:rsid w:val="00177DB8"/>
    <w:rsid w:val="001D0D31"/>
    <w:rsid w:val="001E7050"/>
    <w:rsid w:val="00251642"/>
    <w:rsid w:val="00275072"/>
    <w:rsid w:val="00283FCE"/>
    <w:rsid w:val="002B3FCB"/>
    <w:rsid w:val="00307021"/>
    <w:rsid w:val="00322053"/>
    <w:rsid w:val="00426A59"/>
    <w:rsid w:val="00481590"/>
    <w:rsid w:val="004B2796"/>
    <w:rsid w:val="004C6C6D"/>
    <w:rsid w:val="005028C6"/>
    <w:rsid w:val="005536AC"/>
    <w:rsid w:val="005C4F7B"/>
    <w:rsid w:val="00642CE4"/>
    <w:rsid w:val="00675BA7"/>
    <w:rsid w:val="00717904"/>
    <w:rsid w:val="00717921"/>
    <w:rsid w:val="00732251"/>
    <w:rsid w:val="00737F20"/>
    <w:rsid w:val="00794243"/>
    <w:rsid w:val="008708A8"/>
    <w:rsid w:val="008A71F1"/>
    <w:rsid w:val="008B6F8B"/>
    <w:rsid w:val="008E1F01"/>
    <w:rsid w:val="008F7AD2"/>
    <w:rsid w:val="009315DB"/>
    <w:rsid w:val="009651DB"/>
    <w:rsid w:val="009A1FE8"/>
    <w:rsid w:val="009B4AB3"/>
    <w:rsid w:val="009C461A"/>
    <w:rsid w:val="00A72407"/>
    <w:rsid w:val="00A85029"/>
    <w:rsid w:val="00AD3B42"/>
    <w:rsid w:val="00AE091C"/>
    <w:rsid w:val="00AF7A0F"/>
    <w:rsid w:val="00B0215D"/>
    <w:rsid w:val="00B20327"/>
    <w:rsid w:val="00B96038"/>
    <w:rsid w:val="00BA6D24"/>
    <w:rsid w:val="00BC143F"/>
    <w:rsid w:val="00C16189"/>
    <w:rsid w:val="00CF47CE"/>
    <w:rsid w:val="00D5780A"/>
    <w:rsid w:val="00DA7DE5"/>
    <w:rsid w:val="00DC5558"/>
    <w:rsid w:val="00E61355"/>
    <w:rsid w:val="00E634CD"/>
    <w:rsid w:val="00F12DD7"/>
    <w:rsid w:val="00F15892"/>
    <w:rsid w:val="00F33068"/>
    <w:rsid w:val="00F4099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C9D36B10-1292-4584-AC4A-92D1D906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6D"/>
  </w:style>
  <w:style w:type="paragraph" w:styleId="Heading1">
    <w:name w:val="heading 1"/>
    <w:basedOn w:val="Normal"/>
    <w:next w:val="Normal"/>
    <w:link w:val="Heading1Char"/>
    <w:uiPriority w:val="9"/>
    <w:qFormat/>
    <w:rsid w:val="00481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590"/>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675BA7"/>
    <w:pPr>
      <w:spacing w:after="0" w:line="240" w:lineRule="auto"/>
    </w:pPr>
    <w:rPr>
      <w:lang w:eastAsia="ja-JP"/>
    </w:rPr>
  </w:style>
  <w:style w:type="character" w:customStyle="1" w:styleId="NoSpacingChar">
    <w:name w:val="No Spacing Char"/>
    <w:basedOn w:val="DefaultParagraphFont"/>
    <w:link w:val="NoSpacing"/>
    <w:uiPriority w:val="1"/>
    <w:rsid w:val="00675BA7"/>
    <w:rPr>
      <w:rFonts w:eastAsiaTheme="minorEastAsia"/>
      <w:lang w:eastAsia="ja-JP"/>
    </w:rPr>
  </w:style>
  <w:style w:type="paragraph" w:styleId="BalloonText">
    <w:name w:val="Balloon Text"/>
    <w:basedOn w:val="Normal"/>
    <w:link w:val="BalloonTextChar"/>
    <w:uiPriority w:val="99"/>
    <w:semiHidden/>
    <w:unhideWhenUsed/>
    <w:rsid w:val="0067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3616">
      <w:bodyDiv w:val="1"/>
      <w:marLeft w:val="0"/>
      <w:marRight w:val="0"/>
      <w:marTop w:val="0"/>
      <w:marBottom w:val="0"/>
      <w:divBdr>
        <w:top w:val="none" w:sz="0" w:space="0" w:color="auto"/>
        <w:left w:val="none" w:sz="0" w:space="0" w:color="auto"/>
        <w:bottom w:val="none" w:sz="0" w:space="0" w:color="auto"/>
        <w:right w:val="none" w:sz="0" w:space="0" w:color="auto"/>
      </w:divBdr>
    </w:div>
    <w:div w:id="244921369">
      <w:bodyDiv w:val="1"/>
      <w:marLeft w:val="0"/>
      <w:marRight w:val="0"/>
      <w:marTop w:val="0"/>
      <w:marBottom w:val="0"/>
      <w:divBdr>
        <w:top w:val="none" w:sz="0" w:space="0" w:color="auto"/>
        <w:left w:val="none" w:sz="0" w:space="0" w:color="auto"/>
        <w:bottom w:val="none" w:sz="0" w:space="0" w:color="auto"/>
        <w:right w:val="none" w:sz="0" w:space="0" w:color="auto"/>
      </w:divBdr>
    </w:div>
    <w:div w:id="505368755">
      <w:bodyDiv w:val="1"/>
      <w:marLeft w:val="0"/>
      <w:marRight w:val="0"/>
      <w:marTop w:val="0"/>
      <w:marBottom w:val="0"/>
      <w:divBdr>
        <w:top w:val="none" w:sz="0" w:space="0" w:color="auto"/>
        <w:left w:val="none" w:sz="0" w:space="0" w:color="auto"/>
        <w:bottom w:val="none" w:sz="0" w:space="0" w:color="auto"/>
        <w:right w:val="none" w:sz="0" w:space="0" w:color="auto"/>
      </w:divBdr>
    </w:div>
    <w:div w:id="1007249685">
      <w:bodyDiv w:val="1"/>
      <w:marLeft w:val="0"/>
      <w:marRight w:val="0"/>
      <w:marTop w:val="0"/>
      <w:marBottom w:val="0"/>
      <w:divBdr>
        <w:top w:val="none" w:sz="0" w:space="0" w:color="auto"/>
        <w:left w:val="none" w:sz="0" w:space="0" w:color="auto"/>
        <w:bottom w:val="none" w:sz="0" w:space="0" w:color="auto"/>
        <w:right w:val="none" w:sz="0" w:space="0" w:color="auto"/>
      </w:divBdr>
    </w:div>
    <w:div w:id="1037968586">
      <w:bodyDiv w:val="1"/>
      <w:marLeft w:val="0"/>
      <w:marRight w:val="0"/>
      <w:marTop w:val="0"/>
      <w:marBottom w:val="0"/>
      <w:divBdr>
        <w:top w:val="none" w:sz="0" w:space="0" w:color="auto"/>
        <w:left w:val="none" w:sz="0" w:space="0" w:color="auto"/>
        <w:bottom w:val="none" w:sz="0" w:space="0" w:color="auto"/>
        <w:right w:val="none" w:sz="0" w:space="0" w:color="auto"/>
      </w:divBdr>
    </w:div>
    <w:div w:id="1133132168">
      <w:bodyDiv w:val="1"/>
      <w:marLeft w:val="0"/>
      <w:marRight w:val="0"/>
      <w:marTop w:val="0"/>
      <w:marBottom w:val="0"/>
      <w:divBdr>
        <w:top w:val="none" w:sz="0" w:space="0" w:color="auto"/>
        <w:left w:val="none" w:sz="0" w:space="0" w:color="auto"/>
        <w:bottom w:val="none" w:sz="0" w:space="0" w:color="auto"/>
        <w:right w:val="none" w:sz="0" w:space="0" w:color="auto"/>
      </w:divBdr>
    </w:div>
    <w:div w:id="1390614728">
      <w:bodyDiv w:val="1"/>
      <w:marLeft w:val="0"/>
      <w:marRight w:val="0"/>
      <w:marTop w:val="0"/>
      <w:marBottom w:val="0"/>
      <w:divBdr>
        <w:top w:val="none" w:sz="0" w:space="0" w:color="auto"/>
        <w:left w:val="none" w:sz="0" w:space="0" w:color="auto"/>
        <w:bottom w:val="none" w:sz="0" w:space="0" w:color="auto"/>
        <w:right w:val="none" w:sz="0" w:space="0" w:color="auto"/>
      </w:divBdr>
    </w:div>
    <w:div w:id="1690176129">
      <w:bodyDiv w:val="1"/>
      <w:marLeft w:val="0"/>
      <w:marRight w:val="0"/>
      <w:marTop w:val="0"/>
      <w:marBottom w:val="0"/>
      <w:divBdr>
        <w:top w:val="none" w:sz="0" w:space="0" w:color="auto"/>
        <w:left w:val="none" w:sz="0" w:space="0" w:color="auto"/>
        <w:bottom w:val="none" w:sz="0" w:space="0" w:color="auto"/>
        <w:right w:val="none" w:sz="0" w:space="0" w:color="auto"/>
      </w:divBdr>
    </w:div>
    <w:div w:id="1820029655">
      <w:bodyDiv w:val="1"/>
      <w:marLeft w:val="0"/>
      <w:marRight w:val="0"/>
      <w:marTop w:val="0"/>
      <w:marBottom w:val="0"/>
      <w:divBdr>
        <w:top w:val="none" w:sz="0" w:space="0" w:color="auto"/>
        <w:left w:val="none" w:sz="0" w:space="0" w:color="auto"/>
        <w:bottom w:val="none" w:sz="0" w:space="0" w:color="auto"/>
        <w:right w:val="none" w:sz="0" w:space="0" w:color="auto"/>
      </w:divBdr>
    </w:div>
    <w:div w:id="1898080347">
      <w:bodyDiv w:val="1"/>
      <w:marLeft w:val="0"/>
      <w:marRight w:val="0"/>
      <w:marTop w:val="0"/>
      <w:marBottom w:val="0"/>
      <w:divBdr>
        <w:top w:val="none" w:sz="0" w:space="0" w:color="auto"/>
        <w:left w:val="none" w:sz="0" w:space="0" w:color="auto"/>
        <w:bottom w:val="none" w:sz="0" w:space="0" w:color="auto"/>
        <w:right w:val="none" w:sz="0" w:space="0" w:color="auto"/>
      </w:divBdr>
    </w:div>
    <w:div w:id="1964842375">
      <w:bodyDiv w:val="1"/>
      <w:marLeft w:val="0"/>
      <w:marRight w:val="0"/>
      <w:marTop w:val="0"/>
      <w:marBottom w:val="0"/>
      <w:divBdr>
        <w:top w:val="none" w:sz="0" w:space="0" w:color="auto"/>
        <w:left w:val="none" w:sz="0" w:space="0" w:color="auto"/>
        <w:bottom w:val="none" w:sz="0" w:space="0" w:color="auto"/>
        <w:right w:val="none" w:sz="0" w:space="0" w:color="auto"/>
      </w:divBdr>
    </w:div>
    <w:div w:id="1988778545">
      <w:bodyDiv w:val="1"/>
      <w:marLeft w:val="0"/>
      <w:marRight w:val="0"/>
      <w:marTop w:val="0"/>
      <w:marBottom w:val="0"/>
      <w:divBdr>
        <w:top w:val="none" w:sz="0" w:space="0" w:color="auto"/>
        <w:left w:val="none" w:sz="0" w:space="0" w:color="auto"/>
        <w:bottom w:val="none" w:sz="0" w:space="0" w:color="auto"/>
        <w:right w:val="none" w:sz="0" w:space="0" w:color="auto"/>
      </w:divBdr>
    </w:div>
    <w:div w:id="2027630368">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C9EB-67DF-464C-BABC-226641EB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Report 4</vt:lpstr>
    </vt:vector>
  </TitlesOfParts>
  <Company>Ford Motor Company</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4</dc:title>
  <dc:creator>Waikato Management School</dc:creator>
  <cp:lastModifiedBy>Xu, Shengyu</cp:lastModifiedBy>
  <cp:revision>22</cp:revision>
  <dcterms:created xsi:type="dcterms:W3CDTF">2015-09-16T10:35:00Z</dcterms:created>
  <dcterms:modified xsi:type="dcterms:W3CDTF">2015-09-22T02:55:00Z</dcterms:modified>
</cp:coreProperties>
</file>